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EC06E1" w:rsidRDefault="00FB6B78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6E1">
        <w:rPr>
          <w:rFonts w:ascii="Times New Roman" w:eastAsia="Times New Roman" w:hAnsi="Times New Roman"/>
          <w:sz w:val="20"/>
          <w:szCs w:val="20"/>
          <w:lang w:eastAsia="pl-PL"/>
        </w:rPr>
        <w:t>Białystok, dn. 30</w:t>
      </w:r>
      <w:r w:rsidR="00077C9E" w:rsidRPr="00EC06E1">
        <w:rPr>
          <w:rFonts w:ascii="Times New Roman" w:eastAsia="Times New Roman" w:hAnsi="Times New Roman"/>
          <w:sz w:val="20"/>
          <w:szCs w:val="20"/>
          <w:lang w:eastAsia="pl-PL"/>
        </w:rPr>
        <w:t>.05.2018r.</w:t>
      </w:r>
    </w:p>
    <w:p w:rsidR="00077C9E" w:rsidRPr="00EC06E1" w:rsidRDefault="00077C9E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6E1">
        <w:rPr>
          <w:rFonts w:ascii="Times New Roman" w:eastAsia="Times New Roman" w:hAnsi="Times New Roman"/>
          <w:sz w:val="20"/>
          <w:szCs w:val="20"/>
          <w:lang w:eastAsia="pl-PL"/>
        </w:rPr>
        <w:t>ZP/V/18/</w:t>
      </w:r>
      <w:r w:rsidR="00FB6B78" w:rsidRPr="00EC06E1">
        <w:rPr>
          <w:rFonts w:ascii="Times New Roman" w:eastAsia="Times New Roman" w:hAnsi="Times New Roman"/>
          <w:sz w:val="20"/>
          <w:szCs w:val="20"/>
          <w:lang w:eastAsia="pl-PL"/>
        </w:rPr>
        <w:t>550</w:t>
      </w:r>
      <w:r w:rsidR="00EC06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077C9E" w:rsidRPr="00EC06E1" w:rsidRDefault="00077C9E" w:rsidP="0007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6B78" w:rsidRPr="00EC06E1" w:rsidRDefault="00FB6B78" w:rsidP="00FB6B78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EC06E1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EC06E1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</w:p>
    <w:p w:rsidR="00FB6B78" w:rsidRPr="00EC06E1" w:rsidRDefault="00FB6B78" w:rsidP="00FB6B78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EC06E1">
        <w:rPr>
          <w:rFonts w:ascii="Times New Roman" w:hAnsi="Times New Roman"/>
          <w:sz w:val="20"/>
          <w:szCs w:val="20"/>
          <w:u w:val="single"/>
          <w:lang w:eastAsia="pl-PL"/>
        </w:rPr>
        <w:t>zastawek i materiałów wszczepialnych (nr sprawy 39/2018)</w:t>
      </w:r>
    </w:p>
    <w:p w:rsidR="00077C9E" w:rsidRPr="00EC06E1" w:rsidRDefault="00077C9E" w:rsidP="00077C9E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FB6B78" w:rsidRPr="00EC06E1" w:rsidRDefault="00FB6B78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EC06E1">
        <w:rPr>
          <w:rFonts w:ascii="Times New Roman" w:hAnsi="Times New Roman"/>
          <w:b/>
          <w:sz w:val="20"/>
          <w:szCs w:val="20"/>
          <w:lang w:eastAsia="pl-PL"/>
        </w:rPr>
        <w:t>Pytanie nr 1 (dotyczy Pakietu nr 1):</w:t>
      </w:r>
    </w:p>
    <w:p w:rsidR="00FB6B78" w:rsidRPr="00EC06E1" w:rsidRDefault="00FB6B78" w:rsidP="00FB6B78">
      <w:pPr>
        <w:pStyle w:val="Bezodstpw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C06E1">
        <w:rPr>
          <w:rFonts w:ascii="Times New Roman" w:hAnsi="Times New Roman"/>
          <w:sz w:val="20"/>
          <w:szCs w:val="20"/>
        </w:rPr>
        <w:t xml:space="preserve">Prosimy o dopuszczenie w pakiecie 1 protez uszczelnianych żelatyną wchłanianą na drodze hydrolizy, dwustronnie </w:t>
      </w:r>
      <w:proofErr w:type="spellStart"/>
      <w:r w:rsidRPr="00EC06E1">
        <w:rPr>
          <w:rFonts w:ascii="Times New Roman" w:hAnsi="Times New Roman"/>
          <w:sz w:val="20"/>
          <w:szCs w:val="20"/>
        </w:rPr>
        <w:t>welurowanych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(niski welur wewnętrzny i wysoki zewnętrzny), karbowana na całej długości.</w:t>
      </w:r>
      <w:r w:rsidRPr="00EC06E1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 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C06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EC06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FB6B78" w:rsidRPr="00EC06E1" w:rsidRDefault="00FB6B78" w:rsidP="00FB6B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6B78" w:rsidRPr="00EC06E1" w:rsidRDefault="00FB6B78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EC06E1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C7B1F" w:rsidRPr="00EC06E1"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EC06E1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7):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>Prosimy o dopuszczenie w pakiecie 7 w pozycji 2 w miejsce pierwotnych parametrów zestawu o następującej charakterystyce: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>Urządzenie do operacji naprawczych tętniaków i/lub rozwarstwień łuku aorty oraz piersiowej aorty wstępującej i zstępującej.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Urządzenie hybrydowe składające się ze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stentgraftu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piersiowego, połączonego z protezą łuku aorty posiadającą odnogi dogłowowe oraz odnogę dla przepływu wstecznego lub samą odnogę dla przepływu wstecznego.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piersiowy </w:t>
      </w:r>
      <w:proofErr w:type="spellStart"/>
      <w:r w:rsidRPr="00EC06E1">
        <w:rPr>
          <w:rFonts w:ascii="Times New Roman" w:hAnsi="Times New Roman"/>
          <w:sz w:val="20"/>
          <w:szCs w:val="20"/>
        </w:rPr>
        <w:t>nitinolowy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powleczony cienkościennym materiałem poliestrowym przewyższającym jakościowo materiał do produkcji protez, zbrojony na całej długości pierścieniami.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-  Tkana proteza poliestrowa łuku aorty powleczona żelatyną wchłanianą na drodze hydrolizy, posiadająca 3 odnogi dogłowowe oraz odnogę dla przepływu wstecznego, połączona ze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stentgraftem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piersiowym lub tkana proteza poliestrowa powleczona żelatyną wchłanianą na drodze hydrolizy posiadająca jedną odnogę dla przepływu wstecznego, połączona ze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stentgraftem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piersiowym.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-    Kołnierz Siena umożliwiający szczelne połączenie urządzenia z </w:t>
      </w:r>
      <w:proofErr w:type="spellStart"/>
      <w:r w:rsidRPr="00EC06E1">
        <w:rPr>
          <w:rFonts w:ascii="Times New Roman" w:hAnsi="Times New Roman"/>
          <w:sz w:val="20"/>
          <w:szCs w:val="20"/>
        </w:rPr>
        <w:t>dystalną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częścią aorty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- System dla zakładania złożonego kompaktowo urządzenia, umożliwiający dokładne umiejscowienie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stentgraftu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podczas implantacji 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-    Markery </w:t>
      </w:r>
      <w:proofErr w:type="spellStart"/>
      <w:r w:rsidRPr="00EC06E1">
        <w:rPr>
          <w:rFonts w:ascii="Times New Roman" w:hAnsi="Times New Roman"/>
          <w:sz w:val="20"/>
          <w:szCs w:val="20"/>
        </w:rPr>
        <w:t>cieniodajne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na całej długości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stentgraftu</w:t>
      </w:r>
      <w:proofErr w:type="spellEnd"/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>-    Rozmiary: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Długość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stentgraftu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100mm i 150mm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 xml:space="preserve">Średnice </w:t>
      </w:r>
      <w:proofErr w:type="spellStart"/>
      <w:r w:rsidRPr="00EC06E1">
        <w:rPr>
          <w:rFonts w:ascii="Times New Roman" w:hAnsi="Times New Roman"/>
          <w:sz w:val="20"/>
          <w:szCs w:val="20"/>
        </w:rPr>
        <w:t>stentgraftu</w:t>
      </w:r>
      <w:proofErr w:type="spellEnd"/>
      <w:r w:rsidRPr="00EC06E1">
        <w:rPr>
          <w:rFonts w:ascii="Times New Roman" w:hAnsi="Times New Roman"/>
          <w:sz w:val="20"/>
          <w:szCs w:val="20"/>
        </w:rPr>
        <w:t xml:space="preserve"> 24mm, 26mm, 28mm, 30mm, 32mm, 34mm, 36mm, 38mm, 40 mm.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  <w:r w:rsidRPr="00EC06E1">
        <w:rPr>
          <w:rFonts w:ascii="Times New Roman" w:hAnsi="Times New Roman"/>
          <w:sz w:val="20"/>
          <w:szCs w:val="20"/>
        </w:rPr>
        <w:t>Jednocześnie prosimy o wydzielenie pozycji  2 do oddzielnego pakietu.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C06E1"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  <w:r w:rsidRPr="00EC06E1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EC06E1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FB6B78" w:rsidRPr="00EC06E1" w:rsidRDefault="00FB6B78" w:rsidP="00FB6B78">
      <w:pPr>
        <w:pStyle w:val="Bezodstpw"/>
        <w:rPr>
          <w:rFonts w:ascii="Times New Roman" w:hAnsi="Times New Roman"/>
          <w:sz w:val="20"/>
          <w:szCs w:val="20"/>
        </w:rPr>
      </w:pPr>
    </w:p>
    <w:sectPr w:rsidR="00FB6B78" w:rsidRPr="00EC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77C9E"/>
    <w:rsid w:val="001E534F"/>
    <w:rsid w:val="00534063"/>
    <w:rsid w:val="00C71435"/>
    <w:rsid w:val="00DC7B1F"/>
    <w:rsid w:val="00EC06E1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6</cp:revision>
  <dcterms:created xsi:type="dcterms:W3CDTF">2018-05-30T05:42:00Z</dcterms:created>
  <dcterms:modified xsi:type="dcterms:W3CDTF">2018-05-30T11:15:00Z</dcterms:modified>
</cp:coreProperties>
</file>