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77777777" w:rsidR="00452717" w:rsidRPr="00452717" w:rsidRDefault="00452717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Białystok, dn. 23.02.2018r.</w:t>
      </w:r>
    </w:p>
    <w:p w14:paraId="054EAD6B" w14:textId="499E44F9" w:rsidR="00452717" w:rsidRP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ZP/II/18/</w:t>
      </w:r>
      <w:r w:rsidR="000C627B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bookmarkStart w:id="0" w:name="_GoBack"/>
      <w:bookmarkEnd w:id="0"/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45271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Zapytania oraz sprostowanie treści SIWZ </w:t>
      </w:r>
    </w:p>
    <w:p w14:paraId="3279987F" w14:textId="77777777" w:rsidR="00452717" w:rsidRPr="00AA792A" w:rsidRDefault="00452717" w:rsidP="0045271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Dotyczy: </w:t>
      </w:r>
      <w:r w:rsidRPr="00AA792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przetargu nieograniczonego na dostawę systemu szybkiej identyfikacji drobnoustrojów </w:t>
      </w:r>
    </w:p>
    <w:p w14:paraId="7DDC0032" w14:textId="77777777" w:rsidR="00452717" w:rsidRPr="00AA792A" w:rsidRDefault="00452717" w:rsidP="0045271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A792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(sprawa nr 12/2018)</w:t>
      </w:r>
    </w:p>
    <w:p w14:paraId="7C0089FA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BBA39ED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Pytanie nr 1, dot. pkt 1 i 2 - Załącznika nr 1.1 do SIWZ: I. Wymagania ogólne</w:t>
      </w:r>
    </w:p>
    <w:p w14:paraId="724D078B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Czy Zamawiający dopuści system spektrometrii mas z certyfikatem CE IVD, spełniający wszystkie wymogi tegoż certyfikatu, wyposażony w bibliotekę bakterii i drożdżaków (2428 gatunków) oraz bibliotekę prątków (164 gatunki) również posiadające certyfikaty CE IVD. System działają w oparciu o procedury IVD, jednak z wykorzystaniem odczynników, z których nie wszystkie posiadają certyfikację IVD?  </w:t>
      </w:r>
    </w:p>
    <w:p w14:paraId="10276685" w14:textId="77777777" w:rsidR="00452717" w:rsidRPr="00452717" w:rsidRDefault="00452717" w:rsidP="004527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i/>
          <w:sz w:val="20"/>
          <w:szCs w:val="20"/>
          <w:lang w:eastAsia="pl-PL"/>
        </w:rPr>
        <w:t>Uzasadnienie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: W procedurach IVD dopuszczone jest używanie odczynników bez certyfikatu IVD, które spełniają odpowiednie kryteria czystości oraz stężeń (dokładnie opisane w standardowej procedurze CE-IVD). Obecnie w polskich szpitalach i laboratoriach mikrobiologicznych jest zainstalowanych 15 systemów CE-IVD pracujących z wykorzystaniem standardowych (nie IVD) odczynników chemicznych, na podstawie procedur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IVD.Certyfikacja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CE IVD jest wymagana tylko i wyłącznie w przypadku materiałów i sprzętu medycznego, odczynniki wykorzystywane w procedurach IVD nie są produktami medycznymi. Warto zaznaczyć, iż obecnie na Polskim rynku znajdują się tylko dwa systemy umożliwiające identyfikację grzybów pleśniowych z których pierwszy posiada bibliotekę zawierającą 110 gatunków grzybów nitkowatych (oferowany przez Wykonawcę), a drugi bibliotekę zawierającą ok 60 gatunków grzybów. Wnosimy zatem o dopuszczenie proponowanego systemu, który umożliwia identyfikację 110 gatunków grzybów nitkowatych z wykorzystaniem odczynników, z których nie wszystkie posiadają certyfikację IVD – zgodnie z treścią zawartą w podstawowym pytaniu.</w:t>
      </w:r>
    </w:p>
    <w:p w14:paraId="5294BC14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EC4855" w14:textId="092E7262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219FA3D2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Uzasadnienie 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Zamawiający wymagał odczynników do badań in vitro z certyfikatem CE IVD. Certyfikat gwarantuje wysoką jakość odczynników. Badania wykonywane przez zamawiającego nie są badaniami naukowymi w przypadku których mogą być używane odczynniki eksperymentalne, których jakość nie jest potwierdzona certyfikatami. Zamawiający będzie wykonywał badania na rzecz pacjentów hospitalizowanych w szpitalu klinicznym. Wyniki tych badań będą służyły do ustalania optymalnych terapii pacjentom. Wymagamy do tego celu odczynników najwyższej gwarantowanej jakości, która jest potwierdzona certyfikatem IVD. </w:t>
      </w:r>
    </w:p>
    <w:p w14:paraId="045C78F3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98A498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Pytanie nr 2, dot. pkt. 11 i 12 - Załącznika nr 1.1 do SIWZ: I. Wymagania ogólne</w:t>
      </w:r>
    </w:p>
    <w:p w14:paraId="7CEF3C66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Rozwiązanie opisane w powyższych punktach umożliwia wzięcie udziału w postępowaniu tylko jednemu wykonawcy, mianowicie firmie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bioMerieux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Polska Sp. z o.o.. Laboratoryjny system informatyczny firmy Marcel Centrum, który posiada Zamawiający, może połączyć wyniki z obu instrumentów niezależnie od producenta każdego z systemów bez konieczności wprowadzania dodatkowego systemu informatycznego do laboratorium mikrobiologicznego. </w:t>
      </w:r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tego powodu wnosimy o usunięcie wyżej wspomnianego punktu ze specyfikacji.</w:t>
      </w:r>
    </w:p>
    <w:p w14:paraId="00ED0574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AE0B0C4" w14:textId="3EA69B6D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49D7F0E9" w14:textId="24BAF321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Uzasadnienie </w:t>
      </w:r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Oprogramowanie pośredniczące wymagane przez zamawiającego łączy system do identyfikacji drobnoustrojów z systemem do oznaczanie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lekowrażliwości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oraz z siecią informatyczną laboratorium. Obecnie  w labor</w:t>
      </w:r>
      <w:r w:rsidR="00AA792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atorium zamawiającego użytkowane są</w:t>
      </w:r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na podstawie dzierżawy</w:t>
      </w:r>
      <w:r w:rsidR="00AA792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dwa</w:t>
      </w:r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analizator</w:t>
      </w:r>
      <w:r w:rsidR="00AA792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y:</w:t>
      </w:r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Vitek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2 XL oraz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Vitek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2 Compact. Zamawiający wykonuje bardzo dużą ilość badań i wymaga automatyzacji w celu ograniczenia czynności manualnych. Analizatory do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lekowrażliwości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( wszystkie nie tylko obecnie użytkowane przez zamawiającego) podają wiarygodne wyniki dla konkretnej pary badań identyfikacji i antybiogramu. Oprogramowanie pośredniczące przekaże automatycznie wynik identyfikacji z zamawianego systemu  do analizatora do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lekowrażliwości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aby oprogramowanie eksperckie dobrało odpowiednią normę EUCAST do interpretacji antybiogramu. Dopiero kompletna para identyfikacja oraz antybiogram wraz z interpretacją trafi do oprogramowania Centrum firmy Marcel użytkowanego przez zamawiającego. Taka sytuacja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będzi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miała </w:t>
      </w:r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lastRenderedPageBreak/>
        <w:t xml:space="preserve">miejsce w ponad 90% wykonywanych testów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lekowrażliwości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. Bezpośrednio do oprogramowania Centrum trafią tylko identyfikacje do których mikrobiolog wykona manualny antybiogram.</w:t>
      </w:r>
    </w:p>
    <w:p w14:paraId="7C41E3FF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D4A72D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Pytanie nr 3, dot. pkt. 13 - Załącznika nr 1.1 do SIWZ: I. Wymagania ogólne</w:t>
      </w:r>
    </w:p>
    <w:p w14:paraId="271E0E70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Zamawiający, formułując zapisy powyższego punktu wykroczył poza ramy przedmiotowego postępowania, gdyż ocena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lekowrażliwości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nie dotyczy funkcjonalności systemu do szybkiej identyfikacji drobnoustrojów. Zapis wymogu dotyczącego stacji do programowania płytek (…) nie znajduje uzasadnienia merytorycznego w ramach przedmiotowego postępowania 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wskazuje na </w:t>
      </w:r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próbę rozbudowy obecnie posiadanego przez Zamawiającego systemu </w:t>
      </w:r>
      <w:proofErr w:type="spellStart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Vitek</w:t>
      </w:r>
      <w:proofErr w:type="spellEnd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2XL oraz </w:t>
      </w:r>
      <w:proofErr w:type="spellStart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Vitek</w:t>
      </w:r>
      <w:proofErr w:type="spellEnd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 Compact co dodatkowo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tworzy możliwość złożenia oferty wyłącznie przez jednego Wykonawcę, tj.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bioMerieux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Polska Sp. z o.o.. Żadna inna firma nie może dostarczyć stacji pracy </w:t>
      </w:r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paneli do oznaczania </w:t>
      </w:r>
      <w:proofErr w:type="spellStart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lekowrażliwości</w:t>
      </w:r>
      <w:proofErr w:type="spellEnd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drobnoustrojów, będącej wyposażeniem aparatów produkcji </w:t>
      </w:r>
      <w:proofErr w:type="spellStart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bioMerieux</w:t>
      </w:r>
      <w:proofErr w:type="spellEnd"/>
      <w:r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Z tego powodu wnosimy o usunięcie wyżej wspomnianego punktu ze specyfikacji. </w:t>
      </w:r>
    </w:p>
    <w:p w14:paraId="471CB528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CF57CCA" w14:textId="18A56F87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0F1F6A50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Uzasadnienie </w:t>
      </w:r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Zamawiający</w:t>
      </w:r>
      <w:r w:rsidRPr="0045271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wymaga co najmniej jednej stacji roboczej do programowania płytek do identyfikacji czyli przypisania nr  pola testowego płytki badawczej do nr identyfikującego próbkę badaną, który jest identyczny z nr badanego pacjenta (czasami powiększonego o kolejny nr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izolatu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). Na jednej płytce badawczej można jednocześnie identyfikować kilkanaście a jak płytka jest pełna kilkadziesiąt organizmów. Prawidłowe sparowanie na stacji roboczej prób umożliwia automatyczne sukcesywne w miarę postępowania badania wysyłanie gotowych identyfikacji z zamawianego analizatora do analizatora do </w:t>
      </w:r>
      <w:proofErr w:type="spellStart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lekowrażliwości</w:t>
      </w:r>
      <w:proofErr w:type="spellEnd"/>
      <w:r w:rsidRPr="0045271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, który użytkuje lub do programu Centrum w zależności od potrzeby konkretnego badania. Zamawiający wykonuje dużą liczbę badań i automatyzacja ograniczy ilość pracy manualnej na czym zamawiającemu bardzo zależy.</w:t>
      </w:r>
    </w:p>
    <w:p w14:paraId="433E2B32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30C01FB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Pytanie nr 4, dot. pkt.  14 </w:t>
      </w: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- Załącznika nr 1.1 do SIWZ: I. Wymagania ogólne</w:t>
      </w:r>
    </w:p>
    <w:p w14:paraId="3EB4D00D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Parametr opisany w powyższym punkcie jednoznacznie wskazuje na rozwiązanie oferowane przez firmę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bioMerieux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Polska Sp. z o.o.. i analizator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Vitek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MS. Konstrukcja biblioteki tego rozwiązania wymaga bardzo dużej ilości widm ze względu na specyficzny sposób porównywania wpisów w bibliotece między sobą. Konkurencyjne rozwiązanie opiera się na innym typie biblioteki i nie wymaga tak dużej ilości widm do precyzyjnej identyfikacji mikroorganizmów. Z tego względu wnosimy o usunięcie wspomnianego punktu ze specyfikacji. </w:t>
      </w:r>
    </w:p>
    <w:p w14:paraId="399E62B5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7F74F9" w14:textId="1DB45A19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47B73B0A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Uzasadnienie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Zamawiający dąży do dużej dokładności prowadzonych identyfikacji. Poszczególne drobnoustroje zawierają zróżnicowane białka w swoim wnętrzu, nawet należące do tego samego gatunku są zróżnicowane. Wymagana jest duża baza widm aby zapewnić jak najdokładniejszą i wiarygodną identyfikację drobnoustrojów. Konkretny badany drobnoustrój identyfikowany jest poprzez porównanie jego widma uzyskanego w analizatorze do widma z biblioteki.</w:t>
      </w:r>
    </w:p>
    <w:p w14:paraId="5B60CC84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92D4A6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Pytanie nr 5, dot. pkt. 15 - Załącznika nr 1.1 do SIWZ: I. Wymagania ogólne</w:t>
      </w:r>
    </w:p>
    <w:p w14:paraId="3AF49EF9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Czy Zamawiający uzna ten punkt za spełniony dla systemu, w którym czyszczenie źródła prowadzone jest automatycznie przy użyciu dodatkowego lasera podczerwonego aktywowanego z poziomu oprogramowania przez użytkownika. Punkt w obecnej postaci wskazuje na jednego Wykonawcę, gdyż tylko firma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bioMerieux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Polska Sp. z o.o. wykazuje,  iż system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Vitek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MS nie wymaga czyszczenia źródła jonów, mimo że z powszechnej wiedzy wiadomo iż czyszczenie źródła MALDI jest konieczne i wynika z fizyki jego działania. Ze względu na powyższe argumenty wnosimy o dopuszczenie opisywanego rozwiązania.</w:t>
      </w:r>
    </w:p>
    <w:p w14:paraId="558398E9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E85F9" w14:textId="2AF13292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44667467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Uzasadnienie 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wymaga aby prace konserwacyjne analizatora były bezobsługowe dla zamawiającego i były wykonywane przez autoryzowany serwis firmy dostarczającej analizator. Zamawiający dopuszcza prace konserwacyjne uruchamiane przez przycisk w analizatorze z oprogramowania.</w:t>
      </w:r>
    </w:p>
    <w:p w14:paraId="298C702E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B8699C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Pytanie nr 6, dot. pkt 17 i 18 - Załącznika nr 1.1 do SIWZ: I. Wymagania ogólne</w:t>
      </w:r>
    </w:p>
    <w:p w14:paraId="3CB8316E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Obecnie na polskim rynku są dostępne dwa systemy MALDI TOF do identyfikacji mikroorganizmów i wymienione w powyższych dwóch punktach parametry jednoznacznie wskazują na jeden z systemów</w:t>
      </w:r>
      <w:r w:rsidRPr="00AA792A">
        <w:rPr>
          <w:rFonts w:ascii="Times New Roman" w:eastAsia="Times New Roman" w:hAnsi="Times New Roman"/>
          <w:sz w:val="20"/>
          <w:szCs w:val="20"/>
          <w:lang w:eastAsia="pl-PL"/>
        </w:rPr>
        <w:t>. Dodatkowo wymienione parametry nie mają wpływu na poprawność identyfikacji.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Rozdzielczość i dokładność są parametrami pozwalającymi na oddzielenie od siebie poszczególnych białek </w:t>
      </w:r>
      <w:proofErr w:type="spellStart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rybosomalnych</w:t>
      </w:r>
      <w:proofErr w:type="spellEnd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w bakterii tworzących widmo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i powinny być one wystarczające aby można różnicować między sobą różne gatunki bakterii. Stąd też parametrem najistotniejszym w przypadku identyfikacji mikroorganizmów nie powinny być parametry techniczne, które w każdym z aparatów są optymalne, a wielkość biblioteki mikroorganizmów. Z tego powodu prosimy o usunięcie powyższych punktów ze specyfikacji. </w:t>
      </w:r>
    </w:p>
    <w:p w14:paraId="014D25CD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109C476" w14:textId="022DDB71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6EC2A537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Uzasadnienie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Zamawiający uważa tak jak pytający, że rozdzielczość i dokładność są parametrami pozwalającymi na oddzielenie od siebie poszczególnych białek tworzących widmo. Im mamy większą rozdzielczość i dokładność tym bardziej wiarygodną przeprowadzamy identyfikację, gdyż oparta ona jest o rozdział białek bakteryjnych. Poszczególne gatunki różnią się bardzo w rozkładzie białek. Poszczególne szczepy w gatunku różnią się nieznacznie rozkładem białek, więc dokładność i rozdzielczość ma znaczenie.</w:t>
      </w:r>
    </w:p>
    <w:p w14:paraId="3C4915F9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DCB6C4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Pytanie nr 7, dot. pkt 7 - Załącznika nr 1.1 do SIWZ: II Warunki gwarancji i serwisu</w:t>
      </w:r>
    </w:p>
    <w:p w14:paraId="605C57B7" w14:textId="4177CD02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Czy Zamawiający dopuści możliwość zaoferowania przez Wykonawcę interfejsu do komunikacji użytkownika z aparatem oraz oprogramowania urządzenia w postaci graficznej  wraz z prostymi komendami w j. angielskim, które zapewniają prostą oraz  intuicyjną  obsługę urządzenia? Oprogramowanie w powyższej formie posiada  zestaw czytelnych dla  profesjonalisty – diagnosty laboratoryjnego – mikrobiologa, ikon i komend, które umożliwiają prostą obsługę urządzenia i przeprowadzenia badania. Dodatkowo Wykonawca  dostarczy Zamawiającemu pełną  instrukcję użyt</w:t>
      </w:r>
      <w:r w:rsidR="00AA792A">
        <w:rPr>
          <w:rFonts w:ascii="Times New Roman" w:eastAsia="Times New Roman" w:hAnsi="Times New Roman"/>
          <w:sz w:val="20"/>
          <w:szCs w:val="20"/>
          <w:lang w:eastAsia="pl-PL"/>
        </w:rPr>
        <w:t xml:space="preserve">kowania i obsługi aparatu wraz 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z procedurami konserwacyjnymi w języku polskim, przeprowadzi szkolenia w języku polskim w siedzibie Zamawiającego a także zapewni pełne wsparcie operatorskie oraz aplikacyjne w j. polskim. </w:t>
      </w:r>
    </w:p>
    <w:p w14:paraId="500E4050" w14:textId="77777777" w:rsidR="00AA792A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346BC87" w14:textId="34482DB5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dopuszcza interfejs graficzny oraz proste komendy w języku angielskim zrozumiałe dla mikrobiologa.</w:t>
      </w:r>
    </w:p>
    <w:p w14:paraId="3BBB58A4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445E00" w14:textId="77777777" w:rsidR="00452717" w:rsidRPr="00AA792A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792A">
        <w:rPr>
          <w:rFonts w:ascii="Times New Roman" w:eastAsia="Times New Roman" w:hAnsi="Times New Roman"/>
          <w:b/>
          <w:sz w:val="20"/>
          <w:szCs w:val="20"/>
          <w:lang w:eastAsia="pl-PL"/>
        </w:rPr>
        <w:t>Pytanie nr 8, dot. pkt 10 - Załącznika nr 1.1 do SIWZ: II Warunki gwarancji i serwisu</w:t>
      </w:r>
    </w:p>
    <w:p w14:paraId="62D6F858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Zwracamy się z prośbą o wyjaśnienie lub wykreślenie tego punktu, gdyż żaden z dostępnych systemów nie jest przeznaczony do pracy bezpośrednio z chorym.</w:t>
      </w:r>
    </w:p>
    <w:p w14:paraId="6C0239B5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4A5DE99" w14:textId="036C1478" w:rsidR="00452717" w:rsidRPr="00452717" w:rsidRDefault="00AA792A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Zamawiający wykreśla ten punkt. 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wyjaśnia, że zamawiany analizator nie służy bezpośrednio do pracy z chorym</w:t>
      </w:r>
      <w:r w:rsidR="00BA0358">
        <w:rPr>
          <w:rFonts w:ascii="Times New Roman" w:eastAsia="Times New Roman" w:hAnsi="Times New Roman"/>
          <w:b/>
          <w:sz w:val="20"/>
          <w:szCs w:val="20"/>
          <w:lang w:eastAsia="pl-PL"/>
        </w:rPr>
        <w:t>, ale na rzecz chorego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. Analizator identyfikuje drobnoustroje w laboratorium mikrobiologicznym z materiałów biologicznych pochodzących od chorego. Wyniki pracy analizatora służą pacjentowi poprzez dostarczenie danych do wybrania optymalnej dla niego terapii.</w:t>
      </w:r>
    </w:p>
    <w:p w14:paraId="63BEFA4B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094F500" w14:textId="77777777" w:rsidR="00452717" w:rsidRPr="00BA0358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A0358">
        <w:rPr>
          <w:rFonts w:ascii="Times New Roman" w:eastAsia="Times New Roman" w:hAnsi="Times New Roman"/>
          <w:b/>
          <w:sz w:val="20"/>
          <w:szCs w:val="20"/>
          <w:lang w:eastAsia="pl-PL"/>
        </w:rPr>
        <w:t>Pytanie nr 9 - Załącznika nr 1.1 do SIWZ</w:t>
      </w:r>
    </w:p>
    <w:p w14:paraId="5D87CE1A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Zwracamy się z prośbą do Zamawiającego o wprowadzenie do oceny oferty w powyższym postępowaniu przetargowym parametru dotyczącego identyfikacji więcej niż jednego mikroorganizmu bezpośrednio z pozytywnych hodowli krwi</w:t>
      </w:r>
      <w:r w:rsidRPr="0045271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(przy pomocy procedury posiadającej certyfikat CE-IVD) 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 użyciem spektrometru mas, co znacząco przyśpiesza wprowadzenie celowanego leczenia u pacjentów. Takie rozwiązanie to nieocenione narzędzie diagnostyczne z pełną certyfikacją CE- IVD producenta także do wykrywania zakażeń więcej niż jednym mikroorganizmem. System umożliwia wykonanie w ciągu ok. 30 min badania identyfikacji drobnoustrojów bezpośrednio z dodatnich hodowli posiewu krwi. Rozwiązanie to umożliwia średnie skrócenie czasu identyfikacji o 24 godziny, a tym samym daje możliwości uratowania zdrowia oraz życia pacjentów z sepsą.</w:t>
      </w:r>
    </w:p>
    <w:p w14:paraId="3DFA91C3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Możliwość uzyskania szybkiego, wiarygodnego wyniku diagnostycznego w przypadku pacjentów z ciężką sepsą to szansa na szybkie leczenie oraz powrót pacjenta do zdrowia, co przekłada się na racjonalną, celowaną antybiotykoterapię, skrócenie czasu pobytu pacjenta w szpitalu oraz znaczne obniżenie kosztów procedur medycznych w przypadku pacjentów z podejrzeniem sepsy. Taki aspekt ekonomiczny daje możliwość wprowadzenia znacznych oszczędności w Państwa szpitalu.  </w:t>
      </w:r>
    </w:p>
    <w:p w14:paraId="50B6C945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Zwracamy się zatem z prośbą o wprowadzenie tego parametru jako parametru ocenianego 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br/>
        <w:t>w postepowaniu i nadanie mu odpowiedniej wartości w kryterium oceny ofert co pozwoli Zamawiającemu na uzyskanie lepszej oferty pod względem ekonomicznym.</w:t>
      </w:r>
    </w:p>
    <w:p w14:paraId="0F543755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Chcielibyśmy jednocześnie zaznaczyć, iż wśród użytkowników takich systemów są kluczowe Szpitale Kliniczne i Uniwersyteckie w Polsce, o najwyższym stopniu referencyjności, do których należy  również Państwa placówka. </w:t>
      </w:r>
    </w:p>
    <w:p w14:paraId="2CDB747F" w14:textId="77777777" w:rsid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78873F" w14:textId="77777777" w:rsidR="00BA0358" w:rsidRPr="00452717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6459FD2F" w14:textId="77777777" w:rsidR="00BA0358" w:rsidRPr="00BA0358" w:rsidRDefault="00BA0358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1103F3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Pytanie nr 10, par 11 pkt. 8 - Załącznika nr 5 do SIWZ: Wzór umowy</w:t>
      </w:r>
    </w:p>
    <w:p w14:paraId="79D17CFB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Zwracamy się do zamawiającego z prośbą o modyfikację punktu w następujący sposób:</w:t>
      </w:r>
    </w:p>
    <w:p w14:paraId="74B4A530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zobowiązuje się do wymiany elementu na nowy (fabrycznie identyczny egzemplarz lub lepszy zaakceptowany przez Zamawiającego) po 3 nieskutecznych naprawach gwarancyjnych tego samego elementu Sprzętu, wykonanych w celu usunięcia uszkodzeń i /lub wad uniemożliwiających pracę całego Sprzętu - w terminie 30 dni, liczonym od dnia czwartego zgłoszenia przez Zamawiającego do Wykonawcy uszkodzenia/ wady uniemożliwiających użycie Sprzętu zgodnie z przeznaczeniem. </w:t>
      </w:r>
    </w:p>
    <w:p w14:paraId="58A19135" w14:textId="77777777" w:rsidR="00BA0358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EE95652" w14:textId="77777777" w:rsidR="00BA0358" w:rsidRPr="00452717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513213F4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3458AD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Pytanie nr 11, dot. </w:t>
      </w:r>
      <w:r w:rsidRPr="00452717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§ 11 ust. 2 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- Załącznika nr 5 do SIWZ: Wzór umowy</w:t>
      </w:r>
    </w:p>
    <w:p w14:paraId="383AA0F1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Czy Zamawiający dopuszcza reakcję zdalną serwisu w postaci diagnostyki z wykorzystaniem połączenia internetowego i telefonicznego? Czas 24 godzin nie może być zachowany, jeżeli dniem następnym po zgłoszeniu jest święto lub dzień ustawowo wolny od pracy.</w:t>
      </w:r>
    </w:p>
    <w:p w14:paraId="7E8BA1DA" w14:textId="77777777" w:rsidR="00BA0358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CD3762" w14:textId="77777777" w:rsidR="00BA0358" w:rsidRPr="00452717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3C3D0AF4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CD9FE79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Pytanie nr 12, dot. </w:t>
      </w:r>
      <w:r w:rsidRPr="00452717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§ 14 ust. 1 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- Załącznika nr 5 do SIWZ: Wzór umowy</w:t>
      </w:r>
    </w:p>
    <w:p w14:paraId="2204148B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Zwracamy się z prośbą o zmianę podstawy naliczania kar umownych z kwoty brutto na netto.</w:t>
      </w:r>
    </w:p>
    <w:p w14:paraId="30C7E5F9" w14:textId="77777777" w:rsidR="00BA0358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FCE6017" w14:textId="77777777" w:rsidR="00BA0358" w:rsidRPr="00452717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1194CEE6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4D1FC17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Pytanie 13  - Załącznika nr 5 do SIWZ: Wzór umowy</w:t>
      </w:r>
    </w:p>
    <w:p w14:paraId="56C0AA1D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Czy Zamawiający wyrazi zgodę na zmianę wysokości kar umownych po przez wprowadzenie poniższych zapisów?</w:t>
      </w:r>
    </w:p>
    <w:p w14:paraId="2F00D360" w14:textId="2F4630CE" w:rsidR="00452717" w:rsidRPr="00452717" w:rsidRDefault="00BA0358" w:rsidP="0045271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 xml:space="preserve">§ 14 </w:t>
      </w:r>
      <w:r w:rsidR="00452717" w:rsidRPr="0045271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ust. 1.1</w:t>
      </w:r>
    </w:p>
    <w:p w14:paraId="4DB9D7E0" w14:textId="77777777" w:rsidR="00452717" w:rsidRPr="00452717" w:rsidRDefault="00452717" w:rsidP="00452717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0,1 % wartości umowy netto określonej w § 1 ust. 2 za każdy rozpoczęty dzień opóźnienia Wykonawcy, w przypadku uchybienia terminom określonym w Umowie, w szczególności w:</w:t>
      </w:r>
    </w:p>
    <w:p w14:paraId="6D9B8995" w14:textId="77777777" w:rsidR="00452717" w:rsidRPr="00452717" w:rsidRDefault="00452717" w:rsidP="00452717">
      <w:pPr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§ 2 ust. 2 pkt 5,</w:t>
      </w:r>
    </w:p>
    <w:p w14:paraId="02FA17D6" w14:textId="77777777" w:rsidR="00452717" w:rsidRPr="00452717" w:rsidRDefault="00452717" w:rsidP="00452717">
      <w:pPr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§ 3 ust. 5,</w:t>
      </w:r>
    </w:p>
    <w:p w14:paraId="4F712636" w14:textId="77777777" w:rsidR="00452717" w:rsidRPr="00452717" w:rsidRDefault="00452717" w:rsidP="00452717">
      <w:pPr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§ 8 ust. 2,</w:t>
      </w:r>
    </w:p>
    <w:p w14:paraId="42D3CBAC" w14:textId="77777777" w:rsidR="00452717" w:rsidRPr="00452717" w:rsidRDefault="00452717" w:rsidP="00452717">
      <w:pPr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§ 10 ust. 4;</w:t>
      </w:r>
    </w:p>
    <w:p w14:paraId="52395F19" w14:textId="77777777" w:rsidR="00452717" w:rsidRPr="00452717" w:rsidRDefault="00452717" w:rsidP="00452717">
      <w:pPr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§ 11 ust. 2 – 4,</w:t>
      </w:r>
    </w:p>
    <w:p w14:paraId="7E022535" w14:textId="77777777" w:rsidR="00452717" w:rsidRPr="00452717" w:rsidRDefault="00452717" w:rsidP="00452717">
      <w:pPr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§ 11 ust. 8;</w:t>
      </w:r>
    </w:p>
    <w:p w14:paraId="335A6E5F" w14:textId="77777777" w:rsidR="00452717" w:rsidRPr="00452717" w:rsidRDefault="00452717" w:rsidP="00452717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0,5 % wartości umowy netto, określonej w § 1 ust. 2 za każdy rozpoczęty dzień opóźnienia Wykonawcy, w przypadku uchybienia terminowi określonemu w Umowie, w § 6 ust.1, nieprzekraczającego terminu określonego w § 6 ust. 7;</w:t>
      </w:r>
    </w:p>
    <w:p w14:paraId="2F48FFC4" w14:textId="77777777" w:rsidR="00452717" w:rsidRPr="00452717" w:rsidRDefault="00452717" w:rsidP="00452717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9933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0,1 % wartości umowy netto, określonej w § 1 ust. 2 za każdy przypadek uchybienia obowiązkowi określonemu w § 11 ust. 9 - 10 lub § 12 ust. 3;</w:t>
      </w:r>
    </w:p>
    <w:p w14:paraId="1E88C019" w14:textId="77777777" w:rsidR="00452717" w:rsidRPr="00452717" w:rsidRDefault="00452717" w:rsidP="00452717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9933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0,5 % wartości umowy netto, określonej w § 1 ust. 2 za każdy przypadek uchybienia warunkom określonym w § 2;</w:t>
      </w:r>
    </w:p>
    <w:p w14:paraId="7F3E33E7" w14:textId="77777777" w:rsidR="00452717" w:rsidRPr="00452717" w:rsidRDefault="00452717" w:rsidP="00452717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9933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5 % wartości umowy netto, określonej w § 1 ust. 2 w przypadku niezapewnienia kompatybilności Sprzętu zgodnie z § 3 ust. 3 – 5;</w:t>
      </w:r>
    </w:p>
    <w:p w14:paraId="105A274C" w14:textId="77777777" w:rsidR="00452717" w:rsidRPr="00452717" w:rsidRDefault="00452717" w:rsidP="00452717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993300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0,5 % wartości umowy netto, określonej w § 1 ust. 2 za każdy niedostarczony w terminie dokument określony w § 8 ust. 2, jeżeli pomimo jego braku doszło do odbioru;</w:t>
      </w:r>
    </w:p>
    <w:p w14:paraId="6DA2442E" w14:textId="22156B4B" w:rsidR="00452717" w:rsidRPr="00452717" w:rsidRDefault="00452717" w:rsidP="00452717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10 % wartości umowy netto, określonej w § 1 ust. 2, w przypadku odstąpienia od Umowy przez Stronę z powodu okoliczności leżących po stronie Wykonawcy.</w:t>
      </w:r>
      <w:r w:rsidR="00BA0358">
        <w:rPr>
          <w:rFonts w:ascii="Times New Roman" w:eastAsia="Times New Roman" w:hAnsi="Times New Roman"/>
          <w:sz w:val="20"/>
          <w:szCs w:val="20"/>
          <w:lang w:eastAsia="pl-PL"/>
        </w:rPr>
        <w:t>”</w:t>
      </w:r>
    </w:p>
    <w:p w14:paraId="2AC1DF89" w14:textId="77777777" w:rsidR="00BA0358" w:rsidRPr="00BA0358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A94297" w14:textId="77777777" w:rsidR="00BA0358" w:rsidRPr="00BA0358" w:rsidRDefault="00BA0358" w:rsidP="00BA035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A0358">
        <w:rPr>
          <w:rFonts w:ascii="Times New Roman" w:eastAsia="Times New Roman" w:hAnsi="Times New Roman"/>
          <w:b/>
          <w:sz w:val="20"/>
          <w:szCs w:val="20"/>
          <w:lang w:eastAsia="pl-PL"/>
        </w:rPr>
        <w:t>Odpowiedź: Zamawiający podtrzymuje zapisy SIWZ.</w:t>
      </w:r>
    </w:p>
    <w:p w14:paraId="051E940C" w14:textId="77777777" w:rsidR="00452717" w:rsidRPr="00452717" w:rsidRDefault="00452717" w:rsidP="00452717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122433D" w14:textId="77777777" w:rsidR="00452717" w:rsidRPr="00125B36" w:rsidRDefault="00452717" w:rsidP="00452717">
      <w:pPr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125B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Pytanie nr 14, dot. </w:t>
      </w:r>
      <w:r w:rsidRPr="00125B36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§ 14 ust. 1 </w:t>
      </w:r>
      <w:r w:rsidRPr="00125B36">
        <w:rPr>
          <w:rFonts w:ascii="Times New Roman" w:eastAsia="Times New Roman" w:hAnsi="Times New Roman"/>
          <w:b/>
          <w:sz w:val="20"/>
          <w:szCs w:val="20"/>
          <w:lang w:eastAsia="pl-PL"/>
        </w:rPr>
        <w:t>- Załącznika nr 5 do SIWZ: Wzór umowy</w:t>
      </w:r>
    </w:p>
    <w:p w14:paraId="1A7A3B74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„Opóźnienie" oznacza uchybienie terminowi bez względu na przyczynę tego uchybienia, natomiast „zwłoka" zgodnie z art. 476 K.C., następuje w sytuacji gdy dłużnik nie spełnia świadczenia w skutek okoliczności za które ponosi odpowiedzialność, Kara umowna skategoryzowana jako zryczałtowane odszkodowanie, powinna być wymagalna wyłącznie jeżeli została spowodowana okolicznościami, za które dłużnik (Wykonawca) ponosi odpowiedzialność na zasadach ogólnych. Z powyższych przesłanek wynika, iż dla zachowania istoty instytucji kary umownej - nie może ona zostać zastrzeżona na wypadek niedotrzymania terminu wskutek okoliczności, za które Wykonawca nie ponosi.</w:t>
      </w:r>
    </w:p>
    <w:p w14:paraId="5E477EC6" w14:textId="77777777" w:rsidR="00452717" w:rsidRPr="00452717" w:rsidRDefault="00452717" w:rsidP="004527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Czy mając na uwadze powyższe Zamawiający wyrazi zgodę na zmianę w § 14 ust. 1 wyrażenia „opóźnienie" na „zwłoka"?</w:t>
      </w:r>
    </w:p>
    <w:p w14:paraId="4AA840F0" w14:textId="77777777" w:rsidR="00125B36" w:rsidRDefault="00125B36" w:rsidP="00125B3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3D004BD" w14:textId="77777777" w:rsidR="00125B36" w:rsidRPr="00452717" w:rsidRDefault="00125B36" w:rsidP="00125B3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  <w:r w:rsidRPr="00452717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podtrzymuje zapisy SIWZ.</w:t>
      </w:r>
    </w:p>
    <w:p w14:paraId="77D748A8" w14:textId="77777777" w:rsidR="00452717" w:rsidRPr="00125B36" w:rsidRDefault="00452717" w:rsidP="00452717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90B4B92" w14:textId="77777777" w:rsidR="00452717" w:rsidRDefault="00452717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66922B5" w14:textId="77777777" w:rsidR="002E1B90" w:rsidRPr="00452717" w:rsidRDefault="002E1B90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C0D633" w14:textId="69928FA1" w:rsidR="002E1B90" w:rsidRDefault="00452717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Ponadto Zamawiający informuje, że w treści SIWZ w </w:t>
      </w:r>
      <w:r w:rsidR="00125B36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Rozdziale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III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omyłkowo podano jako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ostateczny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realizacji dzień 29.05.2015r.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tym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treść dotychczasową rozdziału I</w:t>
      </w:r>
      <w:r w:rsidR="00C7091E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I pkt. 1 SIWZ zastępuje się treścią: </w:t>
      </w:r>
    </w:p>
    <w:p w14:paraId="3BD4A4EF" w14:textId="77777777" w:rsidR="002E1B90" w:rsidRDefault="002E1B90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F628D5" w14:textId="77003C73" w:rsidR="00452717" w:rsidRPr="002E1B90" w:rsidRDefault="002E1B90" w:rsidP="002E1B9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„1.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Realizacja przedmiotu zamówienia, o którym mowa w rozdziale I nastąpi na koszt i ryzyko Wykonawc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y, w terminie do dnia </w:t>
      </w:r>
      <w:r w:rsidRPr="002E1B90">
        <w:rPr>
          <w:rFonts w:ascii="Times New Roman" w:eastAsia="Times New Roman" w:hAnsi="Times New Roman"/>
          <w:b/>
          <w:sz w:val="20"/>
          <w:szCs w:val="20"/>
          <w:lang w:eastAsia="pl-PL"/>
        </w:rPr>
        <w:t>29.05.2018r.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ten obejmuje: dostawę i zainstalowanie sprzętu oraz szkolenie personelu. Wykonawca zapewni również serwisowanie sprzętu w okresie gwarancyjnym.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” </w:t>
      </w:r>
    </w:p>
    <w:p w14:paraId="1A6550AC" w14:textId="77777777" w:rsidR="002E1B90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A58490" w14:textId="1CCF43CF" w:rsidR="002E1B90" w:rsidRPr="00106DD9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iż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termin oraz m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iejsce składania i otwarcia ofert nie ulega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ją 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zmianie.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2E1B90" w:rsidRDefault="002E1B90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2E1B90" w:rsidRDefault="002E1B90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2E1B90" w:rsidRDefault="002E1B90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2E1B90" w:rsidRDefault="002E1B90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01E6F756" w:rsidR="002E1B90" w:rsidRDefault="002E1B90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2E1B90" w:rsidRDefault="002E1B90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1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5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0C627B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A1839"/>
    <w:rsid w:val="00A47266"/>
    <w:rsid w:val="00A727BE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D35387"/>
    <w:rsid w:val="00D50D90"/>
    <w:rsid w:val="00D861E2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01CF-D164-4A2D-A634-3484CF81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8</cp:revision>
  <cp:lastPrinted>2018-01-29T12:55:00Z</cp:lastPrinted>
  <dcterms:created xsi:type="dcterms:W3CDTF">2018-02-23T09:56:00Z</dcterms:created>
  <dcterms:modified xsi:type="dcterms:W3CDTF">2018-02-23T10:23:00Z</dcterms:modified>
</cp:coreProperties>
</file>