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AA56" w14:textId="77777777" w:rsidR="007929E6" w:rsidRPr="00E57673" w:rsidRDefault="007929E6" w:rsidP="007929E6">
      <w:pPr>
        <w:rPr>
          <w:rFonts w:ascii="Aptos" w:eastAsia="Times New Roman" w:hAnsi="Aptos" w:cs="Times New Roman"/>
          <w:b/>
          <w:bCs/>
        </w:rPr>
      </w:pPr>
      <w:r w:rsidRPr="00E57673">
        <w:rPr>
          <w:rFonts w:ascii="Aptos" w:eastAsia="Times New Roman" w:hAnsi="Aptos" w:cs="Times New Roman"/>
          <w:b/>
          <w:bCs/>
        </w:rPr>
        <w:t>Informacja dla pacjenta</w:t>
      </w:r>
    </w:p>
    <w:p w14:paraId="61CB65C1" w14:textId="77777777" w:rsidR="007929E6" w:rsidRPr="00E57673" w:rsidRDefault="007929E6" w:rsidP="007929E6">
      <w:pPr>
        <w:rPr>
          <w:rFonts w:ascii="Aptos" w:eastAsia="Times New Roman" w:hAnsi="Aptos" w:cs="Times New Roman"/>
          <w:b/>
          <w:bCs/>
          <w:sz w:val="24"/>
          <w:szCs w:val="24"/>
        </w:rPr>
      </w:pPr>
      <w:r w:rsidRPr="00E57673">
        <w:rPr>
          <w:rFonts w:ascii="Aptos" w:eastAsia="Times New Roman" w:hAnsi="Aptos" w:cs="Times New Roman"/>
          <w:b/>
          <w:bCs/>
          <w:sz w:val="24"/>
          <w:szCs w:val="24"/>
        </w:rPr>
        <w:t>Scyntygrafia tarczycy Tc- 99m</w:t>
      </w:r>
    </w:p>
    <w:p w14:paraId="55B52D59" w14:textId="77777777" w:rsidR="007929E6" w:rsidRPr="00E57673" w:rsidRDefault="007929E6" w:rsidP="007929E6">
      <w:pPr>
        <w:rPr>
          <w:rFonts w:ascii="Aptos" w:eastAsia="Times New Roman" w:hAnsi="Aptos" w:cs="Times New Roman"/>
          <w:b/>
          <w:bCs/>
        </w:rPr>
      </w:pPr>
    </w:p>
    <w:p w14:paraId="530B8603" w14:textId="56D8C973" w:rsidR="007929E6" w:rsidRPr="00E57673" w:rsidRDefault="007929E6" w:rsidP="007929E6">
      <w:pPr>
        <w:rPr>
          <w:rFonts w:ascii="Aptos" w:eastAsia="Times New Roman" w:hAnsi="Aptos" w:cs="Times New Roman"/>
          <w:b/>
          <w:bCs/>
        </w:rPr>
      </w:pPr>
      <w:r w:rsidRPr="00E57673">
        <w:rPr>
          <w:rFonts w:ascii="Aptos" w:eastAsia="Times New Roman" w:hAnsi="Aptos" w:cs="Times New Roman"/>
          <w:b/>
          <w:bCs/>
        </w:rPr>
        <w:t>Cel badania:</w:t>
      </w:r>
    </w:p>
    <w:p w14:paraId="7C210651" w14:textId="77777777" w:rsidR="007929E6" w:rsidRPr="00E57673" w:rsidRDefault="007929E6" w:rsidP="00AB070B">
      <w:pPr>
        <w:spacing w:line="240" w:lineRule="auto"/>
        <w:rPr>
          <w:rFonts w:ascii="Aptos" w:eastAsia="Times New Roman" w:hAnsi="Aptos" w:cs="Times New Roman"/>
        </w:rPr>
      </w:pPr>
      <w:r w:rsidRPr="00E57673">
        <w:rPr>
          <w:rFonts w:ascii="Aptos" w:eastAsia="Times New Roman" w:hAnsi="Aptos" w:cs="Times New Roman"/>
          <w:bCs/>
        </w:rPr>
        <w:t>Scyntygrafia tarczycy z Tc-99m to badanie obrazowe pozwalające na ocenę wielkości, kształtu, położenia oraz pośrednio funkcji tarczycy.</w:t>
      </w:r>
    </w:p>
    <w:p w14:paraId="19FC3A7A" w14:textId="77777777" w:rsidR="007929E6" w:rsidRPr="00E57673" w:rsidRDefault="007929E6" w:rsidP="007929E6">
      <w:pPr>
        <w:rPr>
          <w:rFonts w:ascii="Aptos" w:eastAsia="Times New Roman" w:hAnsi="Aptos" w:cs="Times New Roman"/>
          <w:b/>
          <w:bCs/>
        </w:rPr>
      </w:pPr>
      <w:r w:rsidRPr="00E57673">
        <w:rPr>
          <w:rFonts w:ascii="Aptos" w:eastAsia="Times New Roman" w:hAnsi="Aptos" w:cs="Times New Roman"/>
          <w:b/>
          <w:bCs/>
        </w:rPr>
        <w:t>Przygotowanie do badania:</w:t>
      </w:r>
    </w:p>
    <w:p w14:paraId="7C5C2745" w14:textId="77777777" w:rsidR="007929E6" w:rsidRPr="00E57673" w:rsidRDefault="007929E6" w:rsidP="00AB070B">
      <w:pPr>
        <w:numPr>
          <w:ilvl w:val="0"/>
          <w:numId w:val="5"/>
        </w:numPr>
        <w:spacing w:after="0" w:line="240" w:lineRule="auto"/>
        <w:contextualSpacing/>
        <w:rPr>
          <w:rFonts w:ascii="Aptos" w:eastAsia="Times New Roman" w:hAnsi="Aptos" w:cs="Times New Roman"/>
        </w:rPr>
      </w:pPr>
      <w:r w:rsidRPr="00E57673">
        <w:rPr>
          <w:rFonts w:ascii="Aptos" w:eastAsia="Times New Roman" w:hAnsi="Aptos" w:cs="Times New Roman"/>
        </w:rPr>
        <w:t>należy mieć ze sobą ważny dokument tożsamości,</w:t>
      </w:r>
    </w:p>
    <w:p w14:paraId="765B70CF" w14:textId="77777777" w:rsidR="007929E6" w:rsidRPr="00E57673" w:rsidRDefault="007929E6" w:rsidP="00AB070B">
      <w:pPr>
        <w:numPr>
          <w:ilvl w:val="0"/>
          <w:numId w:val="5"/>
        </w:numPr>
        <w:spacing w:after="0" w:line="240" w:lineRule="auto"/>
        <w:contextualSpacing/>
        <w:rPr>
          <w:rFonts w:ascii="Aptos" w:eastAsia="Times New Roman" w:hAnsi="Aptos" w:cs="Times New Roman"/>
          <w:color w:val="000000" w:themeColor="text1"/>
        </w:rPr>
      </w:pPr>
      <w:r w:rsidRPr="00E57673">
        <w:rPr>
          <w:rFonts w:ascii="Aptos" w:eastAsia="Times New Roman" w:hAnsi="Aptos" w:cs="Times New Roman"/>
          <w:color w:val="000000" w:themeColor="text1"/>
        </w:rPr>
        <w:t>dokumentację medyczną wraz z płytami CD (jeśli taką posiada),</w:t>
      </w:r>
    </w:p>
    <w:p w14:paraId="2D03A106" w14:textId="77777777" w:rsidR="007929E6" w:rsidRPr="00E57673" w:rsidRDefault="007929E6" w:rsidP="00AB070B">
      <w:pPr>
        <w:numPr>
          <w:ilvl w:val="0"/>
          <w:numId w:val="5"/>
        </w:numPr>
        <w:spacing w:after="0" w:line="240" w:lineRule="auto"/>
        <w:contextualSpacing/>
        <w:rPr>
          <w:rFonts w:ascii="Aptos" w:eastAsia="Times New Roman" w:hAnsi="Aptos" w:cs="Times New Roman"/>
          <w:color w:val="000000" w:themeColor="text1"/>
        </w:rPr>
      </w:pPr>
      <w:r w:rsidRPr="00E57673">
        <w:rPr>
          <w:rFonts w:ascii="Aptos" w:eastAsia="Times New Roman" w:hAnsi="Aptos" w:cs="Times New Roman"/>
          <w:color w:val="000000" w:themeColor="text1"/>
        </w:rPr>
        <w:t>scyntygrafię wykonuje się najwcześniej:</w:t>
      </w:r>
    </w:p>
    <w:p w14:paraId="7F452556" w14:textId="77777777" w:rsidR="007929E6" w:rsidRPr="00E57673" w:rsidRDefault="007929E6" w:rsidP="00AB070B">
      <w:pPr>
        <w:spacing w:after="0" w:line="240" w:lineRule="auto"/>
        <w:ind w:left="720"/>
        <w:contextualSpacing/>
        <w:rPr>
          <w:rFonts w:ascii="Aptos" w:eastAsia="Times New Roman" w:hAnsi="Aptos" w:cs="Times New Roman"/>
          <w:color w:val="000000" w:themeColor="text1"/>
        </w:rPr>
      </w:pPr>
      <w:r w:rsidRPr="00E57673">
        <w:rPr>
          <w:rFonts w:ascii="Aptos" w:eastAsia="Times New Roman" w:hAnsi="Aptos" w:cs="Times New Roman"/>
          <w:color w:val="000000" w:themeColor="text1"/>
        </w:rPr>
        <w:t>- po 3 miesiącach od badania z użyciem kontrastu jodowego (TK z kontrastem, urografia, koronarografia);</w:t>
      </w:r>
    </w:p>
    <w:p w14:paraId="1AB6635C" w14:textId="77777777" w:rsidR="007929E6" w:rsidRPr="00E57673" w:rsidRDefault="007929E6" w:rsidP="00AB070B">
      <w:pPr>
        <w:spacing w:after="0" w:line="240" w:lineRule="auto"/>
        <w:ind w:left="720"/>
        <w:contextualSpacing/>
        <w:rPr>
          <w:rFonts w:ascii="Aptos" w:eastAsia="Times New Roman" w:hAnsi="Aptos" w:cs="Times New Roman"/>
          <w:color w:val="000000" w:themeColor="text1"/>
        </w:rPr>
      </w:pPr>
      <w:r w:rsidRPr="00E57673">
        <w:rPr>
          <w:rFonts w:ascii="Aptos" w:eastAsia="Times New Roman" w:hAnsi="Aptos" w:cs="Times New Roman"/>
          <w:color w:val="000000" w:themeColor="text1"/>
        </w:rPr>
        <w:t xml:space="preserve">- po ok. 12 miesiącach od zakończenia leczenia </w:t>
      </w:r>
      <w:proofErr w:type="spellStart"/>
      <w:r w:rsidRPr="00E57673">
        <w:rPr>
          <w:rFonts w:ascii="Aptos" w:eastAsia="Times New Roman" w:hAnsi="Aptos" w:cs="Times New Roman"/>
          <w:color w:val="000000" w:themeColor="text1"/>
        </w:rPr>
        <w:t>amiodaronem</w:t>
      </w:r>
      <w:proofErr w:type="spellEnd"/>
      <w:r w:rsidRPr="00E57673">
        <w:rPr>
          <w:rFonts w:ascii="Aptos" w:eastAsia="Times New Roman" w:hAnsi="Aptos" w:cs="Times New Roman"/>
          <w:color w:val="000000" w:themeColor="text1"/>
        </w:rPr>
        <w:t>,</w:t>
      </w:r>
    </w:p>
    <w:p w14:paraId="620E7180" w14:textId="77777777" w:rsidR="007929E6" w:rsidRPr="00E57673" w:rsidRDefault="007929E6" w:rsidP="00AB070B">
      <w:pPr>
        <w:numPr>
          <w:ilvl w:val="0"/>
          <w:numId w:val="5"/>
        </w:numPr>
        <w:spacing w:after="0" w:line="240" w:lineRule="auto"/>
        <w:contextualSpacing/>
        <w:rPr>
          <w:rFonts w:ascii="Aptos" w:eastAsia="Times New Roman" w:hAnsi="Aptos" w:cs="Times New Roman"/>
        </w:rPr>
      </w:pPr>
      <w:r w:rsidRPr="00E57673">
        <w:rPr>
          <w:rFonts w:ascii="Aptos" w:eastAsia="Times New Roman" w:hAnsi="Aptos" w:cs="Times New Roman"/>
        </w:rPr>
        <w:t>przed badaniem zaleca się odstawienie leków wpływających na czynność gruczołu tarczowego (w porozumieniu z lekarzem prowadzącym lub lekarzem ZMN):</w:t>
      </w:r>
    </w:p>
    <w:p w14:paraId="5F25145D" w14:textId="77777777" w:rsidR="007929E6" w:rsidRPr="00E57673" w:rsidRDefault="007929E6" w:rsidP="00AB070B">
      <w:pPr>
        <w:spacing w:after="0" w:line="240" w:lineRule="auto"/>
        <w:ind w:left="720"/>
        <w:contextualSpacing/>
        <w:rPr>
          <w:rFonts w:ascii="Aptos" w:eastAsia="Times New Roman" w:hAnsi="Aptos" w:cs="Times New Roman"/>
        </w:rPr>
      </w:pPr>
      <w:r w:rsidRPr="00E57673">
        <w:rPr>
          <w:rFonts w:ascii="Aptos" w:eastAsia="Times New Roman" w:hAnsi="Aptos" w:cs="Times New Roman"/>
        </w:rPr>
        <w:t xml:space="preserve">- </w:t>
      </w:r>
      <w:proofErr w:type="spellStart"/>
      <w:r w:rsidRPr="00E57673">
        <w:rPr>
          <w:rFonts w:ascii="Aptos" w:eastAsia="Times New Roman" w:hAnsi="Aptos" w:cs="Times New Roman"/>
        </w:rPr>
        <w:t>Metizol</w:t>
      </w:r>
      <w:proofErr w:type="spellEnd"/>
      <w:r w:rsidRPr="00E57673">
        <w:rPr>
          <w:rFonts w:ascii="Aptos" w:eastAsia="Times New Roman" w:hAnsi="Aptos" w:cs="Times New Roman"/>
        </w:rPr>
        <w:t>/</w:t>
      </w:r>
      <w:proofErr w:type="spellStart"/>
      <w:r w:rsidRPr="00E57673">
        <w:rPr>
          <w:rFonts w:ascii="Aptos" w:eastAsia="Times New Roman" w:hAnsi="Aptos" w:cs="Times New Roman"/>
        </w:rPr>
        <w:t>Thyrozol</w:t>
      </w:r>
      <w:proofErr w:type="spellEnd"/>
      <w:r w:rsidRPr="00E57673">
        <w:rPr>
          <w:rFonts w:ascii="Aptos" w:eastAsia="Times New Roman" w:hAnsi="Aptos" w:cs="Times New Roman"/>
        </w:rPr>
        <w:t xml:space="preserve"> – na 7 dni przed badaniem;</w:t>
      </w:r>
    </w:p>
    <w:p w14:paraId="2C8B1DF6" w14:textId="77777777" w:rsidR="007929E6" w:rsidRPr="00E57673" w:rsidRDefault="007929E6" w:rsidP="00AB070B">
      <w:pPr>
        <w:spacing w:after="0" w:line="240" w:lineRule="auto"/>
        <w:ind w:left="720"/>
        <w:contextualSpacing/>
        <w:rPr>
          <w:rFonts w:ascii="Aptos" w:eastAsia="Times New Roman" w:hAnsi="Aptos" w:cs="Times New Roman"/>
          <w:color w:val="000000" w:themeColor="text1"/>
        </w:rPr>
      </w:pPr>
      <w:r w:rsidRPr="00E57673">
        <w:rPr>
          <w:rFonts w:ascii="Aptos" w:eastAsia="Times New Roman" w:hAnsi="Aptos" w:cs="Times New Roman"/>
        </w:rPr>
        <w:t xml:space="preserve">- </w:t>
      </w:r>
      <w:proofErr w:type="spellStart"/>
      <w:r w:rsidRPr="00E57673">
        <w:rPr>
          <w:rFonts w:ascii="Aptos" w:eastAsia="Times New Roman" w:hAnsi="Aptos" w:cs="Times New Roman"/>
        </w:rPr>
        <w:t>Euthyrox</w:t>
      </w:r>
      <w:proofErr w:type="spellEnd"/>
      <w:r w:rsidRPr="00E57673">
        <w:rPr>
          <w:rFonts w:ascii="Aptos" w:eastAsia="Times New Roman" w:hAnsi="Aptos" w:cs="Times New Roman"/>
        </w:rPr>
        <w:t>/</w:t>
      </w:r>
      <w:proofErr w:type="spellStart"/>
      <w:r w:rsidRPr="00E57673">
        <w:rPr>
          <w:rFonts w:ascii="Aptos" w:eastAsia="Times New Roman" w:hAnsi="Aptos" w:cs="Times New Roman"/>
        </w:rPr>
        <w:t>Letrox</w:t>
      </w:r>
      <w:proofErr w:type="spellEnd"/>
      <w:r w:rsidRPr="00E57673">
        <w:rPr>
          <w:rFonts w:ascii="Aptos" w:eastAsia="Times New Roman" w:hAnsi="Aptos" w:cs="Times New Roman"/>
        </w:rPr>
        <w:t xml:space="preserve"> – na 2-4 tyg. przed badaniem</w:t>
      </w:r>
    </w:p>
    <w:p w14:paraId="7009289A" w14:textId="77777777" w:rsidR="007929E6" w:rsidRPr="00E57673" w:rsidRDefault="007929E6" w:rsidP="007929E6">
      <w:pPr>
        <w:spacing w:after="0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2A678BAA" w14:textId="77777777" w:rsidR="007929E6" w:rsidRPr="00E57673" w:rsidRDefault="007929E6" w:rsidP="007929E6">
      <w:pPr>
        <w:spacing w:after="0"/>
        <w:rPr>
          <w:rFonts w:ascii="Aptos" w:eastAsia="Times New Roman" w:hAnsi="Aptos" w:cs="Times New Roman"/>
          <w:b/>
          <w:bCs/>
          <w:color w:val="000000" w:themeColor="text1"/>
        </w:rPr>
      </w:pPr>
      <w:r w:rsidRPr="00E57673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6165CC00" w14:textId="77777777" w:rsidR="007929E6" w:rsidRPr="00E57673" w:rsidRDefault="007929E6" w:rsidP="007929E6">
      <w:pPr>
        <w:spacing w:after="0"/>
        <w:rPr>
          <w:rFonts w:ascii="Aptos" w:eastAsia="Times New Roman" w:hAnsi="Aptos" w:cs="Times New Roman"/>
          <w:color w:val="000000" w:themeColor="text1"/>
        </w:rPr>
      </w:pPr>
    </w:p>
    <w:p w14:paraId="195014A3" w14:textId="77777777" w:rsidR="007929E6" w:rsidRPr="00E57673" w:rsidRDefault="007929E6" w:rsidP="00AB070B">
      <w:pPr>
        <w:spacing w:after="0" w:line="240" w:lineRule="auto"/>
        <w:rPr>
          <w:rFonts w:ascii="Aptos" w:eastAsia="Times New Roman" w:hAnsi="Aptos" w:cs="Times New Roman"/>
          <w:color w:val="000000" w:themeColor="text1"/>
        </w:rPr>
      </w:pPr>
      <w:r w:rsidRPr="00E57673">
        <w:rPr>
          <w:rFonts w:ascii="Aptos" w:eastAsia="Times New Roman" w:hAnsi="Aptos" w:cs="Times New Roman"/>
          <w:color w:val="000000" w:themeColor="text1"/>
        </w:rPr>
        <w:t xml:space="preserve">Scyntygrafię tarczycy </w:t>
      </w:r>
      <w:proofErr w:type="spellStart"/>
      <w:r w:rsidRPr="00E57673">
        <w:rPr>
          <w:rFonts w:ascii="Aptos" w:eastAsia="Times New Roman" w:hAnsi="Aptos" w:cs="Times New Roman"/>
          <w:color w:val="000000" w:themeColor="text1"/>
        </w:rPr>
        <w:t>technetową</w:t>
      </w:r>
      <w:proofErr w:type="spellEnd"/>
      <w:r w:rsidRPr="00E57673">
        <w:rPr>
          <w:rFonts w:ascii="Aptos" w:eastAsia="Times New Roman" w:hAnsi="Aptos" w:cs="Times New Roman"/>
          <w:color w:val="000000" w:themeColor="text1"/>
        </w:rPr>
        <w:t xml:space="preserve"> wykonujemy przy użyciu izotopu technetu-99m(Tc-99m). Badanie jest jednodniowe. Pacjentowi zostaje dożylnie podany izotop. Po około 20-30 minutach od podania izotopu </w:t>
      </w:r>
      <w:bookmarkStart w:id="0" w:name="_Hlk215040858"/>
      <w:r w:rsidRPr="00E57673">
        <w:rPr>
          <w:rFonts w:ascii="Aptos" w:eastAsia="Times New Roman" w:hAnsi="Aptos" w:cs="Times New Roman"/>
          <w:color w:val="000000" w:themeColor="text1"/>
        </w:rPr>
        <w:t>wykonuje się rejestrację obrazów scyntygraficznych na gamma-kamerze.</w:t>
      </w:r>
      <w:bookmarkEnd w:id="0"/>
      <w:r w:rsidRPr="00E57673">
        <w:rPr>
          <w:rFonts w:ascii="Aptos" w:eastAsia="Times New Roman" w:hAnsi="Aptos" w:cs="Times New Roman"/>
          <w:color w:val="000000" w:themeColor="text1"/>
        </w:rPr>
        <w:t xml:space="preserve"> </w:t>
      </w:r>
    </w:p>
    <w:p w14:paraId="303475A0" w14:textId="77777777" w:rsidR="007929E6" w:rsidRPr="00E57673" w:rsidRDefault="007929E6" w:rsidP="00AB070B">
      <w:pPr>
        <w:spacing w:after="0" w:line="240" w:lineRule="auto"/>
        <w:rPr>
          <w:rFonts w:ascii="Aptos" w:eastAsia="Times New Roman" w:hAnsi="Aptos" w:cs="Times New Roman"/>
          <w:color w:val="000000" w:themeColor="text1"/>
        </w:rPr>
      </w:pPr>
    </w:p>
    <w:p w14:paraId="67914EBE" w14:textId="77777777" w:rsidR="007929E6" w:rsidRPr="00E57673" w:rsidRDefault="007929E6" w:rsidP="007929E6">
      <w:pPr>
        <w:rPr>
          <w:rFonts w:ascii="Aptos" w:eastAsia="Times New Roman" w:hAnsi="Aptos" w:cs="Times New Roman"/>
          <w:b/>
          <w:bCs/>
        </w:rPr>
      </w:pPr>
      <w:r w:rsidRPr="00E57673">
        <w:rPr>
          <w:rFonts w:ascii="Aptos" w:eastAsia="Times New Roman" w:hAnsi="Aptos" w:cs="Times New Roman"/>
          <w:b/>
          <w:bCs/>
        </w:rPr>
        <w:t>Zalecenia po badaniu:</w:t>
      </w:r>
    </w:p>
    <w:p w14:paraId="4C86C423" w14:textId="77777777" w:rsidR="007929E6" w:rsidRPr="00E57673" w:rsidRDefault="007929E6" w:rsidP="00AB070B">
      <w:pPr>
        <w:spacing w:after="0" w:line="240" w:lineRule="auto"/>
        <w:rPr>
          <w:rFonts w:ascii="Aptos" w:eastAsia="Times New Roman" w:hAnsi="Aptos" w:cs="Times New Roman"/>
        </w:rPr>
      </w:pPr>
      <w:r w:rsidRPr="00E57673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73CFB8CA" w14:textId="02F102EA" w:rsidR="00811930" w:rsidRDefault="007929E6" w:rsidP="00811930">
      <w:pPr>
        <w:spacing w:after="0" w:line="240" w:lineRule="auto"/>
        <w:rPr>
          <w:rFonts w:ascii="Aptos" w:eastAsia="Times New Roman" w:hAnsi="Aptos" w:cs="Times New Roman"/>
        </w:rPr>
      </w:pPr>
      <w:r w:rsidRPr="00E57673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4EFE2472" w14:textId="77777777" w:rsidR="00811930" w:rsidRDefault="00811930" w:rsidP="00811930">
      <w:pPr>
        <w:spacing w:after="0" w:line="240" w:lineRule="auto"/>
        <w:rPr>
          <w:rFonts w:ascii="Aptos" w:eastAsia="Times New Roman" w:hAnsi="Aptos" w:cs="Times New Roman"/>
        </w:rPr>
      </w:pPr>
    </w:p>
    <w:p w14:paraId="66EAF92A" w14:textId="77777777" w:rsidR="00811930" w:rsidRPr="00E57673" w:rsidRDefault="00811930" w:rsidP="00811930">
      <w:pPr>
        <w:spacing w:after="0" w:line="240" w:lineRule="auto"/>
        <w:rPr>
          <w:rFonts w:ascii="Aptos" w:eastAsia="Times New Roman" w:hAnsi="Aptos" w:cs="Times New Roman"/>
        </w:rPr>
      </w:pPr>
    </w:p>
    <w:p w14:paraId="11BAFDC9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56BAD">
        <w:rPr>
          <w:rFonts w:ascii="Aptos" w:eastAsia="Times New Roman" w:hAnsi="Aptos" w:cs="Times New Roman"/>
          <w:b/>
          <w:bCs/>
        </w:rPr>
        <w:t xml:space="preserve">Może wystąpić wynaczynienie / krwawienie w miejscu podania </w:t>
      </w:r>
      <w:proofErr w:type="spellStart"/>
      <w:r w:rsidRPr="00556BAD">
        <w:rPr>
          <w:rFonts w:ascii="Aptos" w:eastAsia="Times New Roman" w:hAnsi="Aptos" w:cs="Times New Roman"/>
          <w:b/>
          <w:bCs/>
        </w:rPr>
        <w:t>radiofarmaceutyku</w:t>
      </w:r>
      <w:proofErr w:type="spellEnd"/>
      <w:r w:rsidRPr="00556BAD">
        <w:rPr>
          <w:rFonts w:ascii="Aptos" w:eastAsia="Times New Roman" w:hAnsi="Aptos" w:cs="Times New Roman"/>
          <w:b/>
          <w:bCs/>
        </w:rPr>
        <w:t>.</w:t>
      </w:r>
    </w:p>
    <w:p w14:paraId="4DA6C589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Cs/>
        </w:rPr>
      </w:pPr>
      <w:r w:rsidRPr="00556BAD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11F4F77B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DC6F3EF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56BAD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54891840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56BAD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2A7435FA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56BAD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474792C8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FD6F021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56BAD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13C6E3EE" w14:textId="77777777" w:rsidR="00556BAD" w:rsidRPr="00556BAD" w:rsidRDefault="00556BAD" w:rsidP="00556BAD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7CC2B45" w14:textId="77777777" w:rsidR="00165949" w:rsidRPr="00E57673" w:rsidRDefault="00165949" w:rsidP="007929E6"/>
    <w:sectPr w:rsidR="00165949" w:rsidRPr="00E57673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933B" w14:textId="77777777" w:rsidR="002958B6" w:rsidRDefault="002958B6" w:rsidP="00785183">
      <w:pPr>
        <w:spacing w:after="0" w:line="240" w:lineRule="auto"/>
      </w:pPr>
      <w:r>
        <w:separator/>
      </w:r>
    </w:p>
  </w:endnote>
  <w:endnote w:type="continuationSeparator" w:id="0">
    <w:p w14:paraId="0298272E" w14:textId="77777777" w:rsidR="002958B6" w:rsidRDefault="002958B6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2BAA" w14:textId="77777777" w:rsidR="002958B6" w:rsidRDefault="002958B6" w:rsidP="00785183">
      <w:pPr>
        <w:spacing w:after="0" w:line="240" w:lineRule="auto"/>
      </w:pPr>
      <w:r>
        <w:separator/>
      </w:r>
    </w:p>
  </w:footnote>
  <w:footnote w:type="continuationSeparator" w:id="0">
    <w:p w14:paraId="6FD902A9" w14:textId="77777777" w:rsidR="002958B6" w:rsidRDefault="002958B6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2633732"/>
    <w:multiLevelType w:val="hybridMultilevel"/>
    <w:tmpl w:val="7242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1"/>
  </w:num>
  <w:num w:numId="3" w16cid:durableId="1300450542">
    <w:abstractNumId w:val="0"/>
  </w:num>
  <w:num w:numId="4" w16cid:durableId="1087266891">
    <w:abstractNumId w:val="2"/>
  </w:num>
  <w:num w:numId="5" w16cid:durableId="1296065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65E4E"/>
    <w:rsid w:val="00090C95"/>
    <w:rsid w:val="000A3B06"/>
    <w:rsid w:val="000C1E38"/>
    <w:rsid w:val="000E006A"/>
    <w:rsid w:val="00100B6B"/>
    <w:rsid w:val="00137DB7"/>
    <w:rsid w:val="00145006"/>
    <w:rsid w:val="00162BD7"/>
    <w:rsid w:val="00162E06"/>
    <w:rsid w:val="00165949"/>
    <w:rsid w:val="001667D3"/>
    <w:rsid w:val="0018059D"/>
    <w:rsid w:val="00196B07"/>
    <w:rsid w:val="001A3243"/>
    <w:rsid w:val="001B01AE"/>
    <w:rsid w:val="001E67FE"/>
    <w:rsid w:val="001F3ECC"/>
    <w:rsid w:val="00243482"/>
    <w:rsid w:val="00265590"/>
    <w:rsid w:val="002958B6"/>
    <w:rsid w:val="0031027D"/>
    <w:rsid w:val="003131E6"/>
    <w:rsid w:val="003132D0"/>
    <w:rsid w:val="00317C8D"/>
    <w:rsid w:val="0033525D"/>
    <w:rsid w:val="00380601"/>
    <w:rsid w:val="00382C44"/>
    <w:rsid w:val="00390B1D"/>
    <w:rsid w:val="00396791"/>
    <w:rsid w:val="003B23A7"/>
    <w:rsid w:val="003B4ECC"/>
    <w:rsid w:val="003D01B6"/>
    <w:rsid w:val="003D326C"/>
    <w:rsid w:val="003E4CAF"/>
    <w:rsid w:val="003F1B60"/>
    <w:rsid w:val="003F6E26"/>
    <w:rsid w:val="00430633"/>
    <w:rsid w:val="0046207A"/>
    <w:rsid w:val="00490D9B"/>
    <w:rsid w:val="00544ED9"/>
    <w:rsid w:val="00552BD5"/>
    <w:rsid w:val="005550D5"/>
    <w:rsid w:val="00555AD6"/>
    <w:rsid w:val="00556BAD"/>
    <w:rsid w:val="00566229"/>
    <w:rsid w:val="00574E70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93EB6"/>
    <w:rsid w:val="00696BC4"/>
    <w:rsid w:val="006E29A5"/>
    <w:rsid w:val="006E5D86"/>
    <w:rsid w:val="007000DD"/>
    <w:rsid w:val="007336FE"/>
    <w:rsid w:val="00754500"/>
    <w:rsid w:val="00760D70"/>
    <w:rsid w:val="00785183"/>
    <w:rsid w:val="007929E6"/>
    <w:rsid w:val="00792A15"/>
    <w:rsid w:val="007E5A65"/>
    <w:rsid w:val="007E647A"/>
    <w:rsid w:val="007F05D8"/>
    <w:rsid w:val="007F5A9E"/>
    <w:rsid w:val="00811930"/>
    <w:rsid w:val="00826152"/>
    <w:rsid w:val="00852BD8"/>
    <w:rsid w:val="008766BC"/>
    <w:rsid w:val="008A17A3"/>
    <w:rsid w:val="008A56B8"/>
    <w:rsid w:val="008B7D19"/>
    <w:rsid w:val="008C2A3D"/>
    <w:rsid w:val="008E65C1"/>
    <w:rsid w:val="00922483"/>
    <w:rsid w:val="00924B84"/>
    <w:rsid w:val="0094065F"/>
    <w:rsid w:val="00943F71"/>
    <w:rsid w:val="00944529"/>
    <w:rsid w:val="00956F74"/>
    <w:rsid w:val="009B5A87"/>
    <w:rsid w:val="009B6028"/>
    <w:rsid w:val="009F7B22"/>
    <w:rsid w:val="00A10200"/>
    <w:rsid w:val="00A139C3"/>
    <w:rsid w:val="00A22A3B"/>
    <w:rsid w:val="00A433D4"/>
    <w:rsid w:val="00A614E1"/>
    <w:rsid w:val="00A625FA"/>
    <w:rsid w:val="00A678AC"/>
    <w:rsid w:val="00A71C56"/>
    <w:rsid w:val="00A94CBE"/>
    <w:rsid w:val="00A96994"/>
    <w:rsid w:val="00AB070B"/>
    <w:rsid w:val="00AB4AA3"/>
    <w:rsid w:val="00AB7B2B"/>
    <w:rsid w:val="00AC2785"/>
    <w:rsid w:val="00AD25DF"/>
    <w:rsid w:val="00AD45BF"/>
    <w:rsid w:val="00AD7B8C"/>
    <w:rsid w:val="00B05471"/>
    <w:rsid w:val="00B30441"/>
    <w:rsid w:val="00B46233"/>
    <w:rsid w:val="00BA5085"/>
    <w:rsid w:val="00C055B9"/>
    <w:rsid w:val="00C21468"/>
    <w:rsid w:val="00C31F6D"/>
    <w:rsid w:val="00C4506E"/>
    <w:rsid w:val="00C6057D"/>
    <w:rsid w:val="00C74140"/>
    <w:rsid w:val="00C76146"/>
    <w:rsid w:val="00C83892"/>
    <w:rsid w:val="00D0485D"/>
    <w:rsid w:val="00D44BE5"/>
    <w:rsid w:val="00D54AFA"/>
    <w:rsid w:val="00D57D28"/>
    <w:rsid w:val="00D7381E"/>
    <w:rsid w:val="00D80E06"/>
    <w:rsid w:val="00D9470D"/>
    <w:rsid w:val="00DB76A9"/>
    <w:rsid w:val="00DE5377"/>
    <w:rsid w:val="00DF699F"/>
    <w:rsid w:val="00E13046"/>
    <w:rsid w:val="00E212CC"/>
    <w:rsid w:val="00E57673"/>
    <w:rsid w:val="00E72EFE"/>
    <w:rsid w:val="00E8112E"/>
    <w:rsid w:val="00E81436"/>
    <w:rsid w:val="00EA1A27"/>
    <w:rsid w:val="00F0296D"/>
    <w:rsid w:val="00F83537"/>
    <w:rsid w:val="00F850BD"/>
    <w:rsid w:val="00F90187"/>
    <w:rsid w:val="00F964C4"/>
    <w:rsid w:val="00FB0E6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17</cp:revision>
  <cp:lastPrinted>2026-02-11T07:15:00Z</cp:lastPrinted>
  <dcterms:created xsi:type="dcterms:W3CDTF">2026-02-13T11:01:00Z</dcterms:created>
  <dcterms:modified xsi:type="dcterms:W3CDTF">2026-02-19T07:05:00Z</dcterms:modified>
</cp:coreProperties>
</file>