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DA4A" w14:textId="563F2F18" w:rsidR="00BA5085" w:rsidRPr="009F6C5E" w:rsidRDefault="00C21468" w:rsidP="007000DD">
      <w:pPr>
        <w:rPr>
          <w:rFonts w:ascii="Aptos" w:hAnsi="Aptos" w:cs="Times New Roman"/>
          <w:b/>
          <w:bCs/>
        </w:rPr>
      </w:pPr>
      <w:r w:rsidRPr="009F6C5E">
        <w:rPr>
          <w:rFonts w:ascii="Aptos" w:hAnsi="Aptos" w:cs="Times New Roman"/>
          <w:b/>
          <w:bCs/>
        </w:rPr>
        <w:t>Informacja dla pacjenta</w:t>
      </w:r>
    </w:p>
    <w:p w14:paraId="2C63DD99" w14:textId="5B38FB1C" w:rsidR="007000DD" w:rsidRPr="009F6C5E" w:rsidRDefault="00C21468" w:rsidP="007000DD">
      <w:pPr>
        <w:rPr>
          <w:rFonts w:ascii="Aptos" w:hAnsi="Aptos" w:cs="Times New Roman"/>
          <w:b/>
          <w:bCs/>
          <w:sz w:val="24"/>
          <w:szCs w:val="24"/>
        </w:rPr>
      </w:pPr>
      <w:r w:rsidRPr="009F6C5E">
        <w:rPr>
          <w:rFonts w:ascii="Aptos" w:hAnsi="Aptos" w:cs="Times New Roman"/>
          <w:b/>
          <w:bCs/>
          <w:sz w:val="24"/>
          <w:szCs w:val="24"/>
        </w:rPr>
        <w:t>Scyntygrafia tarczycy z I-131</w:t>
      </w:r>
    </w:p>
    <w:p w14:paraId="728AC04A" w14:textId="77777777" w:rsidR="009F6C5E" w:rsidRPr="009F6C5E" w:rsidRDefault="009F6C5E" w:rsidP="007000DD">
      <w:pPr>
        <w:rPr>
          <w:rFonts w:ascii="Aptos" w:hAnsi="Aptos" w:cs="Times New Roman"/>
          <w:b/>
          <w:bCs/>
        </w:rPr>
      </w:pPr>
    </w:p>
    <w:p w14:paraId="1BEC38D0" w14:textId="3E465CD3" w:rsidR="007E5A65" w:rsidRPr="009F6C5E" w:rsidRDefault="007E5A65" w:rsidP="007000DD">
      <w:pPr>
        <w:rPr>
          <w:rFonts w:ascii="Aptos" w:hAnsi="Aptos" w:cs="Times New Roman"/>
          <w:b/>
          <w:bCs/>
        </w:rPr>
      </w:pPr>
      <w:r w:rsidRPr="009F6C5E">
        <w:rPr>
          <w:rFonts w:ascii="Aptos" w:hAnsi="Aptos" w:cs="Times New Roman"/>
          <w:b/>
          <w:bCs/>
        </w:rPr>
        <w:t>Cel badania:</w:t>
      </w:r>
    </w:p>
    <w:p w14:paraId="047348E4" w14:textId="77777777" w:rsidR="0090281D" w:rsidRDefault="00A22A3B" w:rsidP="0090281D">
      <w:pPr>
        <w:spacing w:after="0" w:line="240" w:lineRule="auto"/>
        <w:rPr>
          <w:rFonts w:ascii="Aptos" w:hAnsi="Aptos" w:cs="Times New Roman"/>
        </w:rPr>
      </w:pPr>
      <w:r w:rsidRPr="009F6C5E">
        <w:rPr>
          <w:rFonts w:ascii="Aptos" w:hAnsi="Aptos" w:cs="Times New Roman"/>
        </w:rPr>
        <w:t xml:space="preserve">Scyntygrafia tarczycy z 131-I jest badaniem niezbędnym u pacjentów, u których planowana jest terapia radioizotopowa tarczycy. Pozwala ocenić wielkość, położenie oraz </w:t>
      </w:r>
      <w:proofErr w:type="spellStart"/>
      <w:r w:rsidRPr="009F6C5E">
        <w:rPr>
          <w:rFonts w:ascii="Aptos" w:hAnsi="Aptos" w:cs="Times New Roman"/>
        </w:rPr>
        <w:t>jodochwytoność</w:t>
      </w:r>
      <w:proofErr w:type="spellEnd"/>
      <w:r w:rsidRPr="009F6C5E">
        <w:rPr>
          <w:rFonts w:ascii="Aptos" w:hAnsi="Aptos" w:cs="Times New Roman"/>
        </w:rPr>
        <w:t xml:space="preserve"> tarczycy.</w:t>
      </w:r>
    </w:p>
    <w:p w14:paraId="413D8156" w14:textId="77777777" w:rsidR="0090281D" w:rsidRDefault="0090281D" w:rsidP="0090281D">
      <w:pPr>
        <w:spacing w:after="0" w:line="240" w:lineRule="auto"/>
        <w:rPr>
          <w:rFonts w:ascii="Aptos" w:hAnsi="Aptos" w:cs="Times New Roman"/>
        </w:rPr>
      </w:pPr>
    </w:p>
    <w:p w14:paraId="661A77DE" w14:textId="55BFFC43" w:rsidR="007E5A65" w:rsidRPr="0090281D" w:rsidRDefault="007E5A65" w:rsidP="0090281D">
      <w:pPr>
        <w:spacing w:after="0" w:line="240" w:lineRule="auto"/>
        <w:rPr>
          <w:rFonts w:ascii="Aptos" w:hAnsi="Aptos" w:cs="Times New Roman"/>
        </w:rPr>
      </w:pPr>
      <w:r w:rsidRPr="009F6C5E">
        <w:rPr>
          <w:rFonts w:ascii="Aptos" w:hAnsi="Aptos" w:cs="Times New Roman"/>
          <w:b/>
          <w:bCs/>
        </w:rPr>
        <w:t>Przygotowanie do badania:</w:t>
      </w:r>
    </w:p>
    <w:p w14:paraId="71B5F766" w14:textId="77777777" w:rsidR="00F964C4" w:rsidRPr="009F6C5E" w:rsidRDefault="00F964C4" w:rsidP="0090281D">
      <w:pPr>
        <w:pStyle w:val="Akapitzlist"/>
        <w:numPr>
          <w:ilvl w:val="0"/>
          <w:numId w:val="2"/>
        </w:numPr>
        <w:spacing w:after="0" w:line="240" w:lineRule="auto"/>
        <w:rPr>
          <w:rFonts w:ascii="Aptos" w:hAnsi="Aptos" w:cs="Times New Roman"/>
        </w:rPr>
      </w:pPr>
      <w:r w:rsidRPr="009F6C5E">
        <w:rPr>
          <w:rFonts w:ascii="Aptos" w:hAnsi="Aptos" w:cs="Times New Roman"/>
        </w:rPr>
        <w:t>należy mieć ze sobą ważny dokument tożsamości,</w:t>
      </w:r>
    </w:p>
    <w:p w14:paraId="79A8AFE7" w14:textId="21ABFFB7" w:rsidR="00F964C4" w:rsidRPr="009F6C5E" w:rsidRDefault="00F964C4" w:rsidP="0090281D">
      <w:pPr>
        <w:pStyle w:val="Akapitzlist"/>
        <w:numPr>
          <w:ilvl w:val="0"/>
          <w:numId w:val="2"/>
        </w:numPr>
        <w:spacing w:after="0" w:line="240" w:lineRule="auto"/>
        <w:rPr>
          <w:rFonts w:ascii="Aptos" w:hAnsi="Aptos" w:cs="Times New Roman"/>
        </w:rPr>
      </w:pPr>
      <w:r w:rsidRPr="009F6C5E">
        <w:rPr>
          <w:rFonts w:ascii="Aptos" w:hAnsi="Aptos" w:cs="Times New Roman"/>
        </w:rPr>
        <w:t>dokumentację medyczną wraz z płytami CD (jeśli taką posiada),</w:t>
      </w:r>
    </w:p>
    <w:p w14:paraId="29C4630C" w14:textId="77777777" w:rsidR="00F964C4" w:rsidRPr="009F6C5E" w:rsidRDefault="00F964C4" w:rsidP="0090281D">
      <w:pPr>
        <w:pStyle w:val="Akapitzlist"/>
        <w:numPr>
          <w:ilvl w:val="0"/>
          <w:numId w:val="2"/>
        </w:numPr>
        <w:spacing w:after="0" w:line="240" w:lineRule="auto"/>
        <w:rPr>
          <w:rFonts w:ascii="Aptos" w:hAnsi="Aptos" w:cs="Times New Roman"/>
        </w:rPr>
      </w:pPr>
      <w:r w:rsidRPr="009F6C5E">
        <w:rPr>
          <w:rFonts w:ascii="Aptos" w:hAnsi="Aptos" w:cs="Times New Roman"/>
        </w:rPr>
        <w:t xml:space="preserve">należy być na czczo 2 h przed i po podaniu kapsułki 131-I, </w:t>
      </w:r>
    </w:p>
    <w:p w14:paraId="766349B9" w14:textId="7EF7C960" w:rsidR="00F964C4" w:rsidRPr="009F6C5E" w:rsidRDefault="00A614E1" w:rsidP="0090281D">
      <w:pPr>
        <w:spacing w:after="0" w:line="240" w:lineRule="auto"/>
        <w:ind w:firstLine="360"/>
        <w:rPr>
          <w:rFonts w:ascii="Aptos" w:hAnsi="Aptos" w:cs="Times New Roman"/>
        </w:rPr>
      </w:pPr>
      <w:r w:rsidRPr="009F6C5E">
        <w:rPr>
          <w:rFonts w:ascii="Aptos" w:hAnsi="Aptos" w:cs="Times New Roman"/>
        </w:rPr>
        <w:t xml:space="preserve">     </w:t>
      </w:r>
      <w:r w:rsidR="00F964C4" w:rsidRPr="009F6C5E">
        <w:rPr>
          <w:rFonts w:ascii="Aptos" w:hAnsi="Aptos" w:cs="Times New Roman"/>
        </w:rPr>
        <w:t xml:space="preserve">- po ok. </w:t>
      </w:r>
      <w:r w:rsidR="000A3B06" w:rsidRPr="009F6C5E">
        <w:rPr>
          <w:rFonts w:ascii="Aptos" w:hAnsi="Aptos" w:cs="Times New Roman"/>
        </w:rPr>
        <w:t>12</w:t>
      </w:r>
      <w:r w:rsidR="00F964C4" w:rsidRPr="009F6C5E">
        <w:rPr>
          <w:rFonts w:ascii="Aptos" w:hAnsi="Aptos" w:cs="Times New Roman"/>
        </w:rPr>
        <w:t xml:space="preserve"> miesiącach od zakończenia leczenia </w:t>
      </w:r>
      <w:proofErr w:type="spellStart"/>
      <w:r w:rsidR="00F964C4" w:rsidRPr="009F6C5E">
        <w:rPr>
          <w:rFonts w:ascii="Aptos" w:hAnsi="Aptos" w:cs="Times New Roman"/>
        </w:rPr>
        <w:t>amiodaronem</w:t>
      </w:r>
      <w:proofErr w:type="spellEnd"/>
      <w:r w:rsidR="00F964C4" w:rsidRPr="009F6C5E">
        <w:rPr>
          <w:rFonts w:ascii="Aptos" w:hAnsi="Aptos" w:cs="Times New Roman"/>
        </w:rPr>
        <w:t>.</w:t>
      </w:r>
    </w:p>
    <w:p w14:paraId="5A103065" w14:textId="77777777" w:rsidR="00F964C4" w:rsidRPr="009F6C5E" w:rsidRDefault="00F964C4" w:rsidP="0090281D">
      <w:pPr>
        <w:pStyle w:val="Akapitzlist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 w:rsidRPr="009F6C5E">
        <w:rPr>
          <w:rFonts w:ascii="Aptos" w:hAnsi="Aptos" w:cs="Times New Roman"/>
        </w:rPr>
        <w:t>przed badaniem zaleca się odstawienie leków wpływających na czynność gruczołu tarczowego (w porozumieniu z lekarzem prowadzącym lub lekarzem ZMN):</w:t>
      </w:r>
    </w:p>
    <w:p w14:paraId="3A1D8C00" w14:textId="02F55414" w:rsidR="00F964C4" w:rsidRPr="009F6C5E" w:rsidRDefault="00A614E1" w:rsidP="0090281D">
      <w:pPr>
        <w:spacing w:after="0" w:line="240" w:lineRule="auto"/>
        <w:ind w:firstLine="360"/>
        <w:rPr>
          <w:rFonts w:ascii="Aptos" w:hAnsi="Aptos" w:cs="Times New Roman"/>
        </w:rPr>
      </w:pPr>
      <w:r w:rsidRPr="009F6C5E">
        <w:rPr>
          <w:rFonts w:ascii="Aptos" w:hAnsi="Aptos" w:cs="Times New Roman"/>
        </w:rPr>
        <w:t xml:space="preserve">     </w:t>
      </w:r>
      <w:r w:rsidR="00F964C4" w:rsidRPr="009F6C5E">
        <w:rPr>
          <w:rFonts w:ascii="Aptos" w:hAnsi="Aptos" w:cs="Times New Roman"/>
        </w:rPr>
        <w:t xml:space="preserve">- </w:t>
      </w:r>
      <w:proofErr w:type="spellStart"/>
      <w:r w:rsidR="00F964C4" w:rsidRPr="009F6C5E">
        <w:rPr>
          <w:rFonts w:ascii="Aptos" w:hAnsi="Aptos" w:cs="Times New Roman"/>
        </w:rPr>
        <w:t>Metizol</w:t>
      </w:r>
      <w:proofErr w:type="spellEnd"/>
      <w:r w:rsidR="00F964C4" w:rsidRPr="009F6C5E">
        <w:rPr>
          <w:rFonts w:ascii="Aptos" w:hAnsi="Aptos" w:cs="Times New Roman"/>
        </w:rPr>
        <w:t>/</w:t>
      </w:r>
      <w:proofErr w:type="spellStart"/>
      <w:r w:rsidR="00F964C4" w:rsidRPr="009F6C5E">
        <w:rPr>
          <w:rFonts w:ascii="Aptos" w:hAnsi="Aptos" w:cs="Times New Roman"/>
        </w:rPr>
        <w:t>Thyrozol</w:t>
      </w:r>
      <w:proofErr w:type="spellEnd"/>
      <w:r w:rsidR="00F964C4" w:rsidRPr="009F6C5E">
        <w:rPr>
          <w:rFonts w:ascii="Aptos" w:hAnsi="Aptos" w:cs="Times New Roman"/>
        </w:rPr>
        <w:t xml:space="preserve"> – na 7 dni przed badaniem;</w:t>
      </w:r>
    </w:p>
    <w:p w14:paraId="1A90B8C4" w14:textId="614AEFF0" w:rsidR="00F964C4" w:rsidRPr="009F6C5E" w:rsidRDefault="00A614E1" w:rsidP="0090281D">
      <w:pPr>
        <w:spacing w:after="0" w:line="240" w:lineRule="auto"/>
        <w:ind w:firstLine="360"/>
        <w:rPr>
          <w:rFonts w:ascii="Aptos" w:hAnsi="Aptos" w:cs="Times New Roman"/>
        </w:rPr>
      </w:pPr>
      <w:r w:rsidRPr="009F6C5E">
        <w:rPr>
          <w:rFonts w:ascii="Aptos" w:hAnsi="Aptos" w:cs="Times New Roman"/>
        </w:rPr>
        <w:t xml:space="preserve">     </w:t>
      </w:r>
      <w:r w:rsidR="00F964C4" w:rsidRPr="009F6C5E">
        <w:rPr>
          <w:rFonts w:ascii="Aptos" w:hAnsi="Aptos" w:cs="Times New Roman"/>
        </w:rPr>
        <w:t xml:space="preserve">- </w:t>
      </w:r>
      <w:proofErr w:type="spellStart"/>
      <w:r w:rsidR="00F964C4" w:rsidRPr="009F6C5E">
        <w:rPr>
          <w:rFonts w:ascii="Aptos" w:hAnsi="Aptos" w:cs="Times New Roman"/>
        </w:rPr>
        <w:t>Euthyrox</w:t>
      </w:r>
      <w:proofErr w:type="spellEnd"/>
      <w:r w:rsidR="00F964C4" w:rsidRPr="009F6C5E">
        <w:rPr>
          <w:rFonts w:ascii="Aptos" w:hAnsi="Aptos" w:cs="Times New Roman"/>
        </w:rPr>
        <w:t>/</w:t>
      </w:r>
      <w:proofErr w:type="spellStart"/>
      <w:r w:rsidR="00F964C4" w:rsidRPr="009F6C5E">
        <w:rPr>
          <w:rFonts w:ascii="Aptos" w:hAnsi="Aptos" w:cs="Times New Roman"/>
        </w:rPr>
        <w:t>Letrox</w:t>
      </w:r>
      <w:proofErr w:type="spellEnd"/>
      <w:r w:rsidR="00F964C4" w:rsidRPr="009F6C5E">
        <w:rPr>
          <w:rFonts w:ascii="Aptos" w:hAnsi="Aptos" w:cs="Times New Roman"/>
        </w:rPr>
        <w:t xml:space="preserve"> – na 2-4 tyg. przed badaniem;</w:t>
      </w:r>
    </w:p>
    <w:p w14:paraId="63997B5A" w14:textId="77777777" w:rsidR="00F964C4" w:rsidRPr="009F6C5E" w:rsidRDefault="00F964C4" w:rsidP="0090281D">
      <w:pPr>
        <w:pStyle w:val="Akapitzlist"/>
        <w:numPr>
          <w:ilvl w:val="0"/>
          <w:numId w:val="2"/>
        </w:numPr>
        <w:spacing w:after="0" w:line="240" w:lineRule="auto"/>
        <w:rPr>
          <w:rFonts w:ascii="Aptos" w:hAnsi="Aptos" w:cs="Times New Roman"/>
        </w:rPr>
      </w:pPr>
      <w:r w:rsidRPr="009F6C5E">
        <w:rPr>
          <w:rFonts w:ascii="Aptos" w:hAnsi="Aptos" w:cs="Times New Roman"/>
        </w:rPr>
        <w:t>scyntygrafię wykonuje się najwcześniej:</w:t>
      </w:r>
    </w:p>
    <w:p w14:paraId="473AE8C0" w14:textId="4FAFFE6F" w:rsidR="00A22A3B" w:rsidRPr="009F6C5E" w:rsidRDefault="00F964C4" w:rsidP="0090281D">
      <w:pPr>
        <w:spacing w:after="0" w:line="240" w:lineRule="auto"/>
        <w:ind w:left="660"/>
        <w:rPr>
          <w:rFonts w:ascii="Aptos" w:hAnsi="Aptos" w:cs="Times New Roman"/>
        </w:rPr>
      </w:pPr>
      <w:r w:rsidRPr="009F6C5E">
        <w:rPr>
          <w:rFonts w:ascii="Aptos" w:hAnsi="Aptos" w:cs="Times New Roman"/>
        </w:rPr>
        <w:t xml:space="preserve">- po 3 miesiącach od badania z użyciem kontrastu jodowego (TK z kontrastem, urografia, </w:t>
      </w:r>
      <w:r w:rsidR="00A614E1" w:rsidRPr="009F6C5E">
        <w:rPr>
          <w:rFonts w:ascii="Aptos" w:hAnsi="Aptos" w:cs="Times New Roman"/>
        </w:rPr>
        <w:t xml:space="preserve">          </w:t>
      </w:r>
      <w:r w:rsidRPr="009F6C5E">
        <w:rPr>
          <w:rFonts w:ascii="Aptos" w:hAnsi="Aptos" w:cs="Times New Roman"/>
        </w:rPr>
        <w:t>koronarografia);</w:t>
      </w:r>
    </w:p>
    <w:p w14:paraId="27EE3E39" w14:textId="77777777" w:rsidR="00A614E1" w:rsidRPr="009F6C5E" w:rsidRDefault="00A614E1" w:rsidP="007000DD">
      <w:pPr>
        <w:spacing w:after="0" w:line="240" w:lineRule="auto"/>
        <w:rPr>
          <w:rFonts w:ascii="Aptos" w:hAnsi="Aptos" w:cs="Times New Roman"/>
          <w:b/>
          <w:bCs/>
        </w:rPr>
      </w:pPr>
    </w:p>
    <w:p w14:paraId="365083E3" w14:textId="24569065" w:rsidR="007E5A65" w:rsidRPr="009F6C5E" w:rsidRDefault="007E5A65" w:rsidP="0090281D">
      <w:pPr>
        <w:spacing w:after="0" w:line="240" w:lineRule="auto"/>
        <w:rPr>
          <w:rFonts w:ascii="Aptos" w:hAnsi="Aptos" w:cs="Times New Roman"/>
          <w:b/>
          <w:bCs/>
        </w:rPr>
      </w:pPr>
      <w:r w:rsidRPr="009F6C5E">
        <w:rPr>
          <w:rFonts w:ascii="Aptos" w:hAnsi="Aptos" w:cs="Times New Roman"/>
          <w:b/>
          <w:bCs/>
        </w:rPr>
        <w:t>Przebieg badania:</w:t>
      </w:r>
    </w:p>
    <w:p w14:paraId="5B01ED7F" w14:textId="4C678F8E" w:rsidR="00A614E1" w:rsidRPr="009F6C5E" w:rsidRDefault="00A22A3B" w:rsidP="0090281D">
      <w:pPr>
        <w:spacing w:after="0" w:line="240" w:lineRule="auto"/>
        <w:rPr>
          <w:rFonts w:ascii="Aptos" w:hAnsi="Aptos" w:cs="Times New Roman"/>
        </w:rPr>
      </w:pPr>
      <w:r w:rsidRPr="009F6C5E">
        <w:rPr>
          <w:rFonts w:ascii="Aptos" w:hAnsi="Aptos" w:cs="Times New Roman"/>
        </w:rPr>
        <w:t>Badanie jest dwudniowe - pierwszego dnia doustne podanie kapsułki diagnostycznej</w:t>
      </w:r>
      <w:r w:rsidR="0046207A" w:rsidRPr="009F6C5E">
        <w:rPr>
          <w:rFonts w:ascii="Aptos" w:hAnsi="Aptos" w:cs="Times New Roman"/>
        </w:rPr>
        <w:t xml:space="preserve"> </w:t>
      </w:r>
      <w:r w:rsidRPr="009F6C5E">
        <w:rPr>
          <w:rFonts w:ascii="Aptos" w:hAnsi="Aptos" w:cs="Times New Roman"/>
        </w:rPr>
        <w:t>131-I,  drugiego obrazowanie za pomocą gamma-kamery</w:t>
      </w:r>
      <w:r w:rsidR="008766BC" w:rsidRPr="009F6C5E">
        <w:rPr>
          <w:rFonts w:ascii="Aptos" w:hAnsi="Aptos" w:cs="Times New Roman"/>
        </w:rPr>
        <w:t>. Badanie odbywa się ambulatoryjnie</w:t>
      </w:r>
      <w:r w:rsidR="00A614E1" w:rsidRPr="009F6C5E">
        <w:rPr>
          <w:rFonts w:ascii="Aptos" w:hAnsi="Aptos" w:cs="Times New Roman"/>
        </w:rPr>
        <w:t>.</w:t>
      </w:r>
    </w:p>
    <w:p w14:paraId="3BBE11AA" w14:textId="77777777" w:rsidR="00A614E1" w:rsidRPr="009F6C5E" w:rsidRDefault="00A614E1" w:rsidP="007000DD">
      <w:pPr>
        <w:spacing w:after="0" w:line="240" w:lineRule="auto"/>
        <w:ind w:left="720"/>
        <w:rPr>
          <w:rFonts w:ascii="Aptos" w:hAnsi="Aptos" w:cs="Times New Roman"/>
        </w:rPr>
      </w:pPr>
    </w:p>
    <w:p w14:paraId="598A33BC" w14:textId="31491045" w:rsidR="007E5A65" w:rsidRPr="009F6C5E" w:rsidRDefault="007E5A65" w:rsidP="0090281D">
      <w:pPr>
        <w:spacing w:after="0" w:line="240" w:lineRule="auto"/>
        <w:rPr>
          <w:rFonts w:ascii="Aptos" w:hAnsi="Aptos" w:cs="Times New Roman"/>
          <w:b/>
          <w:bCs/>
        </w:rPr>
      </w:pPr>
      <w:r w:rsidRPr="009F6C5E">
        <w:rPr>
          <w:rFonts w:ascii="Aptos" w:hAnsi="Aptos" w:cs="Times New Roman"/>
          <w:b/>
          <w:bCs/>
        </w:rPr>
        <w:t>Zalecenia po badaniu:</w:t>
      </w:r>
    </w:p>
    <w:p w14:paraId="6770111F" w14:textId="77777777" w:rsidR="008766BC" w:rsidRPr="009F6C5E" w:rsidRDefault="008766BC" w:rsidP="0090281D">
      <w:pPr>
        <w:spacing w:after="0" w:line="240" w:lineRule="auto"/>
        <w:rPr>
          <w:rFonts w:ascii="Aptos" w:hAnsi="Aptos" w:cs="Times New Roman"/>
        </w:rPr>
      </w:pPr>
      <w:r w:rsidRPr="009F6C5E">
        <w:rPr>
          <w:rFonts w:ascii="Aptos" w:hAnsi="Aptos" w:cs="Times New Roman"/>
        </w:rPr>
        <w:t>W dniu badania zaleca się unikanie kontaktów z kobietami w ciąży i małymi dziećmi.</w:t>
      </w:r>
    </w:p>
    <w:p w14:paraId="28630A24" w14:textId="77777777" w:rsidR="00836F4C" w:rsidRDefault="00F964C4" w:rsidP="005F30FE">
      <w:pPr>
        <w:spacing w:after="0" w:line="240" w:lineRule="auto"/>
        <w:rPr>
          <w:rFonts w:ascii="Aptos" w:hAnsi="Aptos" w:cs="Times New Roman"/>
        </w:rPr>
      </w:pPr>
      <w:r w:rsidRPr="009F6C5E">
        <w:rPr>
          <w:rFonts w:ascii="Aptos" w:hAnsi="Aptos" w:cs="Times New Roman"/>
        </w:rPr>
        <w:t xml:space="preserve">Po badaniu zaleca się picie </w:t>
      </w:r>
      <w:r w:rsidR="008766BC" w:rsidRPr="009F6C5E">
        <w:rPr>
          <w:rFonts w:ascii="Aptos" w:hAnsi="Aptos" w:cs="Times New Roman"/>
        </w:rPr>
        <w:t xml:space="preserve">większej </w:t>
      </w:r>
      <w:r w:rsidRPr="009F6C5E">
        <w:rPr>
          <w:rFonts w:ascii="Aptos" w:hAnsi="Aptos" w:cs="Times New Roman"/>
        </w:rPr>
        <w:t>ilości płynów, aby przyspieszyć wydalenie izotopu z organizmu.</w:t>
      </w:r>
    </w:p>
    <w:p w14:paraId="6B19035E" w14:textId="77777777" w:rsidR="00836F4C" w:rsidRDefault="00836F4C" w:rsidP="005F30FE">
      <w:pPr>
        <w:spacing w:after="0" w:line="240" w:lineRule="auto"/>
        <w:rPr>
          <w:rFonts w:ascii="Aptos" w:hAnsi="Aptos" w:cs="Times New Roman"/>
        </w:rPr>
      </w:pPr>
    </w:p>
    <w:p w14:paraId="40D3CCB0" w14:textId="77777777" w:rsidR="00836F4C" w:rsidRDefault="00836F4C" w:rsidP="005F30FE">
      <w:pPr>
        <w:spacing w:after="0" w:line="240" w:lineRule="auto"/>
        <w:rPr>
          <w:rFonts w:ascii="Aptos" w:hAnsi="Aptos" w:cs="Times New Roman"/>
        </w:rPr>
      </w:pPr>
    </w:p>
    <w:p w14:paraId="723F08C5" w14:textId="39A317C6" w:rsidR="005F30FE" w:rsidRPr="00836F4C" w:rsidRDefault="005F30FE" w:rsidP="005F30FE">
      <w:pPr>
        <w:spacing w:after="0" w:line="240" w:lineRule="auto"/>
        <w:rPr>
          <w:rFonts w:ascii="Aptos" w:hAnsi="Aptos" w:cs="Times New Roman"/>
        </w:rPr>
      </w:pPr>
      <w:r w:rsidRPr="00D27E9B">
        <w:rPr>
          <w:rFonts w:ascii="Aptos" w:hAnsi="Aptos" w:cs="Times New Roman"/>
          <w:b/>
          <w:bCs/>
        </w:rPr>
        <w:t>Może wystąpić zakrztuszenie się kapsułką.</w:t>
      </w:r>
    </w:p>
    <w:p w14:paraId="41B7A8B8" w14:textId="77777777" w:rsidR="005F30FE" w:rsidRPr="005F30FE" w:rsidRDefault="005F30FE" w:rsidP="005F30FE">
      <w:pPr>
        <w:spacing w:after="0" w:line="240" w:lineRule="auto"/>
        <w:rPr>
          <w:rFonts w:ascii="Aptos" w:eastAsia="Times New Roman" w:hAnsi="Aptos" w:cs="Times New Roman"/>
          <w:bCs/>
        </w:rPr>
      </w:pPr>
      <w:r w:rsidRPr="005F30FE">
        <w:rPr>
          <w:rFonts w:ascii="Aptos" w:eastAsia="Times New Roman" w:hAnsi="Aptos" w:cs="Times New Roman"/>
          <w:b/>
          <w:bCs/>
        </w:rPr>
        <w:t>Badanie jest w pełni bezpieczne i może być powtarzane wielokrotnie, a promieniowanie jest znikome.</w:t>
      </w:r>
    </w:p>
    <w:p w14:paraId="3DD07BCD" w14:textId="77777777" w:rsidR="005F30FE" w:rsidRPr="005F30FE" w:rsidRDefault="005F30FE" w:rsidP="005F30FE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22A42F7" w14:textId="77777777" w:rsidR="005F30FE" w:rsidRPr="005F30FE" w:rsidRDefault="005F30FE" w:rsidP="005F30FE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F30FE">
        <w:rPr>
          <w:rFonts w:ascii="Aptos" w:eastAsia="Times New Roman" w:hAnsi="Aptos" w:cs="Times New Roman"/>
          <w:b/>
          <w:bCs/>
        </w:rPr>
        <w:t>Przeciwwskazaniem do badania jest ciąża i okres karmienia piersią.</w:t>
      </w:r>
    </w:p>
    <w:p w14:paraId="2A57A8E4" w14:textId="77777777" w:rsidR="005F30FE" w:rsidRPr="005F30FE" w:rsidRDefault="005F30FE" w:rsidP="005F30FE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F30FE">
        <w:rPr>
          <w:rFonts w:ascii="Aptos" w:eastAsia="Times New Roman" w:hAnsi="Aptos" w:cs="Times New Roman"/>
          <w:b/>
          <w:bCs/>
        </w:rPr>
        <w:t>Pacjentom nie powinny towarzyszyć małe dzieci i kobiety w ciąży.</w:t>
      </w:r>
    </w:p>
    <w:p w14:paraId="7FF6FE48" w14:textId="77777777" w:rsidR="005F30FE" w:rsidRPr="005F30FE" w:rsidRDefault="005F30FE" w:rsidP="005F30FE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F30FE">
        <w:rPr>
          <w:rFonts w:ascii="Aptos" w:eastAsia="Times New Roman" w:hAnsi="Aptos" w:cs="Times New Roman"/>
          <w:b/>
          <w:bCs/>
        </w:rPr>
        <w:t>Z dzieckiem lub osobą dorosłą potrzebującą wsparcia może przebywać na terenie Zakładu tylko 1 opiekun.</w:t>
      </w:r>
    </w:p>
    <w:p w14:paraId="4185FDA0" w14:textId="77777777" w:rsidR="005F30FE" w:rsidRPr="005F30FE" w:rsidRDefault="005F30FE" w:rsidP="005F30FE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4C5FCB80" w14:textId="77777777" w:rsidR="005F30FE" w:rsidRPr="005F30FE" w:rsidRDefault="005F30FE" w:rsidP="005F30FE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F30FE">
        <w:rPr>
          <w:rFonts w:ascii="Aptos" w:eastAsia="Times New Roman" w:hAnsi="Aptos" w:cs="Times New Roman"/>
          <w:b/>
          <w:bCs/>
        </w:rPr>
        <w:t>W razie jakichkolwiek wątpliwości należy skonsultować się z personelem Zakładu.</w:t>
      </w:r>
    </w:p>
    <w:p w14:paraId="70741801" w14:textId="77777777" w:rsidR="00BA5085" w:rsidRPr="009F6C5E" w:rsidRDefault="00BA5085" w:rsidP="007000DD">
      <w:pPr>
        <w:spacing w:after="0" w:line="240" w:lineRule="auto"/>
        <w:rPr>
          <w:rFonts w:ascii="Aptos" w:hAnsi="Aptos" w:cs="Times New Roman"/>
          <w:bCs/>
        </w:rPr>
      </w:pPr>
    </w:p>
    <w:p w14:paraId="27CC2B45" w14:textId="77777777" w:rsidR="00165949" w:rsidRPr="009F6C5E" w:rsidRDefault="00165949" w:rsidP="007000DD">
      <w:pPr>
        <w:spacing w:after="0" w:line="240" w:lineRule="auto"/>
        <w:rPr>
          <w:rFonts w:ascii="Aptos" w:hAnsi="Aptos" w:cs="Times New Roman"/>
          <w:bCs/>
        </w:rPr>
      </w:pPr>
    </w:p>
    <w:sectPr w:rsidR="00165949" w:rsidRPr="009F6C5E" w:rsidSect="007E5A65">
      <w:headerReference w:type="default" r:id="rId8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84E0" w14:textId="77777777" w:rsidR="000F2443" w:rsidRDefault="000F2443" w:rsidP="00785183">
      <w:pPr>
        <w:spacing w:after="0" w:line="240" w:lineRule="auto"/>
      </w:pPr>
      <w:r>
        <w:separator/>
      </w:r>
    </w:p>
  </w:endnote>
  <w:endnote w:type="continuationSeparator" w:id="0">
    <w:p w14:paraId="473DCBAB" w14:textId="77777777" w:rsidR="000F2443" w:rsidRDefault="000F2443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A803" w14:textId="77777777" w:rsidR="000F2443" w:rsidRDefault="000F2443" w:rsidP="00785183">
      <w:pPr>
        <w:spacing w:after="0" w:line="240" w:lineRule="auto"/>
      </w:pPr>
      <w:r>
        <w:separator/>
      </w:r>
    </w:p>
  </w:footnote>
  <w:footnote w:type="continuationSeparator" w:id="0">
    <w:p w14:paraId="5B31B587" w14:textId="77777777" w:rsidR="000F2443" w:rsidRDefault="000F2443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3"/>
  </w:num>
  <w:num w:numId="2" w16cid:durableId="1033769597">
    <w:abstractNumId w:val="1"/>
  </w:num>
  <w:num w:numId="3" w16cid:durableId="1300450542">
    <w:abstractNumId w:val="0"/>
  </w:num>
  <w:num w:numId="4" w16cid:durableId="1087266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23D47"/>
    <w:rsid w:val="0003560A"/>
    <w:rsid w:val="00065E4E"/>
    <w:rsid w:val="00090C95"/>
    <w:rsid w:val="000A3B06"/>
    <w:rsid w:val="000C3C38"/>
    <w:rsid w:val="000E006A"/>
    <w:rsid w:val="000F2443"/>
    <w:rsid w:val="00100B6B"/>
    <w:rsid w:val="00137DB7"/>
    <w:rsid w:val="00162BD7"/>
    <w:rsid w:val="00162E06"/>
    <w:rsid w:val="00165949"/>
    <w:rsid w:val="001667D3"/>
    <w:rsid w:val="0018059D"/>
    <w:rsid w:val="00196B07"/>
    <w:rsid w:val="001E67FE"/>
    <w:rsid w:val="001F3ECC"/>
    <w:rsid w:val="00243482"/>
    <w:rsid w:val="00265590"/>
    <w:rsid w:val="0028218F"/>
    <w:rsid w:val="002D1193"/>
    <w:rsid w:val="0031027D"/>
    <w:rsid w:val="003131E6"/>
    <w:rsid w:val="003132D0"/>
    <w:rsid w:val="0033525D"/>
    <w:rsid w:val="00380601"/>
    <w:rsid w:val="00382C44"/>
    <w:rsid w:val="00382D50"/>
    <w:rsid w:val="00390B1D"/>
    <w:rsid w:val="003B23A7"/>
    <w:rsid w:val="003B4ECC"/>
    <w:rsid w:val="003D01B6"/>
    <w:rsid w:val="003E4CAF"/>
    <w:rsid w:val="003F1B60"/>
    <w:rsid w:val="003F6E26"/>
    <w:rsid w:val="00430633"/>
    <w:rsid w:val="0046207A"/>
    <w:rsid w:val="0048616F"/>
    <w:rsid w:val="00490D9B"/>
    <w:rsid w:val="00544ED9"/>
    <w:rsid w:val="00552BD5"/>
    <w:rsid w:val="005550D5"/>
    <w:rsid w:val="00555AD6"/>
    <w:rsid w:val="00566229"/>
    <w:rsid w:val="00574E70"/>
    <w:rsid w:val="005B45F7"/>
    <w:rsid w:val="005D0EDA"/>
    <w:rsid w:val="005D36C8"/>
    <w:rsid w:val="005D6E5B"/>
    <w:rsid w:val="005E3D4C"/>
    <w:rsid w:val="005F30FE"/>
    <w:rsid w:val="006000F7"/>
    <w:rsid w:val="0060090B"/>
    <w:rsid w:val="006038B6"/>
    <w:rsid w:val="00632C8B"/>
    <w:rsid w:val="00651ED9"/>
    <w:rsid w:val="00693EB6"/>
    <w:rsid w:val="00696BC4"/>
    <w:rsid w:val="006E29A5"/>
    <w:rsid w:val="006E5D86"/>
    <w:rsid w:val="007000DD"/>
    <w:rsid w:val="007336FE"/>
    <w:rsid w:val="00754500"/>
    <w:rsid w:val="00760D70"/>
    <w:rsid w:val="00785183"/>
    <w:rsid w:val="007E5A65"/>
    <w:rsid w:val="007E647A"/>
    <w:rsid w:val="007F05D8"/>
    <w:rsid w:val="007F5A9E"/>
    <w:rsid w:val="00826152"/>
    <w:rsid w:val="00836F4C"/>
    <w:rsid w:val="00852BD8"/>
    <w:rsid w:val="008766BC"/>
    <w:rsid w:val="008A17A3"/>
    <w:rsid w:val="008A56B8"/>
    <w:rsid w:val="008A5D14"/>
    <w:rsid w:val="008B7D19"/>
    <w:rsid w:val="008C2A3D"/>
    <w:rsid w:val="0090281D"/>
    <w:rsid w:val="00922483"/>
    <w:rsid w:val="00924B84"/>
    <w:rsid w:val="00943F71"/>
    <w:rsid w:val="00944529"/>
    <w:rsid w:val="00956F74"/>
    <w:rsid w:val="00990D9E"/>
    <w:rsid w:val="009B5A87"/>
    <w:rsid w:val="009B6028"/>
    <w:rsid w:val="009F6C5E"/>
    <w:rsid w:val="009F7B22"/>
    <w:rsid w:val="00A10200"/>
    <w:rsid w:val="00A22A3B"/>
    <w:rsid w:val="00A433D4"/>
    <w:rsid w:val="00A614E1"/>
    <w:rsid w:val="00A625FA"/>
    <w:rsid w:val="00A678AC"/>
    <w:rsid w:val="00A71C56"/>
    <w:rsid w:val="00A94CBE"/>
    <w:rsid w:val="00A96994"/>
    <w:rsid w:val="00AB4AA3"/>
    <w:rsid w:val="00AB7B2B"/>
    <w:rsid w:val="00AC2785"/>
    <w:rsid w:val="00AD25DF"/>
    <w:rsid w:val="00AD7B8C"/>
    <w:rsid w:val="00B05471"/>
    <w:rsid w:val="00B30441"/>
    <w:rsid w:val="00B46233"/>
    <w:rsid w:val="00BA5085"/>
    <w:rsid w:val="00BE38F4"/>
    <w:rsid w:val="00C055B9"/>
    <w:rsid w:val="00C21468"/>
    <w:rsid w:val="00C31F6D"/>
    <w:rsid w:val="00C4506E"/>
    <w:rsid w:val="00C6057D"/>
    <w:rsid w:val="00C74140"/>
    <w:rsid w:val="00C76146"/>
    <w:rsid w:val="00C83892"/>
    <w:rsid w:val="00D0485D"/>
    <w:rsid w:val="00D44BE5"/>
    <w:rsid w:val="00D54AFA"/>
    <w:rsid w:val="00D57D28"/>
    <w:rsid w:val="00D7381E"/>
    <w:rsid w:val="00D80E06"/>
    <w:rsid w:val="00D9470D"/>
    <w:rsid w:val="00DE5377"/>
    <w:rsid w:val="00DF699F"/>
    <w:rsid w:val="00E04A4E"/>
    <w:rsid w:val="00E13046"/>
    <w:rsid w:val="00E212CC"/>
    <w:rsid w:val="00E72EFE"/>
    <w:rsid w:val="00E8112E"/>
    <w:rsid w:val="00EA1A27"/>
    <w:rsid w:val="00F0296D"/>
    <w:rsid w:val="00F2286C"/>
    <w:rsid w:val="00F83537"/>
    <w:rsid w:val="00F850BD"/>
    <w:rsid w:val="00F90187"/>
    <w:rsid w:val="00F964C4"/>
    <w:rsid w:val="00FB0E69"/>
    <w:rsid w:val="00F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15</cp:revision>
  <cp:lastPrinted>2026-02-11T07:15:00Z</cp:lastPrinted>
  <dcterms:created xsi:type="dcterms:W3CDTF">2026-02-13T11:01:00Z</dcterms:created>
  <dcterms:modified xsi:type="dcterms:W3CDTF">2026-02-19T07:05:00Z</dcterms:modified>
</cp:coreProperties>
</file>