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6F2" w:rsidRDefault="004246F2" w:rsidP="005B1358">
      <w:pPr>
        <w:pStyle w:val="Nagwek3"/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E60C9" w:rsidRPr="004246F2" w:rsidRDefault="005E60C9" w:rsidP="004246F2">
      <w:pPr>
        <w:pStyle w:val="Nagwek3"/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246F2">
        <w:rPr>
          <w:rFonts w:ascii="Times New Roman" w:hAnsi="Times New Roman" w:cs="Times New Roman"/>
          <w:b/>
          <w:color w:val="auto"/>
          <w:sz w:val="28"/>
          <w:szCs w:val="28"/>
        </w:rPr>
        <w:t>ENTEROGRAFIA</w:t>
      </w:r>
    </w:p>
    <w:p w:rsidR="005E60C9" w:rsidRPr="004246F2" w:rsidRDefault="005E60C9" w:rsidP="005B1358">
      <w:pPr>
        <w:pStyle w:val="Nagwek3"/>
        <w:spacing w:line="276" w:lineRule="auto"/>
        <w:rPr>
          <w:rFonts w:ascii="Times New Roman" w:hAnsi="Times New Roman" w:cs="Times New Roman"/>
          <w:color w:val="auto"/>
        </w:rPr>
      </w:pPr>
    </w:p>
    <w:p w:rsidR="006119B2" w:rsidRPr="004246F2" w:rsidRDefault="003532CF" w:rsidP="005B1358">
      <w:pPr>
        <w:pStyle w:val="Nagwek3"/>
        <w:numPr>
          <w:ilvl w:val="0"/>
          <w:numId w:val="12"/>
        </w:numPr>
        <w:spacing w:line="27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</w:pPr>
      <w:r w:rsidRPr="004246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>Cel badania</w:t>
      </w:r>
      <w:r w:rsidR="00DA60DC" w:rsidRPr="004246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 xml:space="preserve">  </w:t>
      </w:r>
    </w:p>
    <w:p w:rsidR="003532CF" w:rsidRPr="004246F2" w:rsidRDefault="009D753F" w:rsidP="004246F2">
      <w:pPr>
        <w:pStyle w:val="Nagwek3"/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4246F2">
        <w:rPr>
          <w:rFonts w:ascii="Times New Roman" w:eastAsia="Times New Roman" w:hAnsi="Times New Roman" w:cs="Times New Roman"/>
          <w:color w:val="auto"/>
          <w:lang w:eastAsia="pl-PL"/>
        </w:rPr>
        <w:t>E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nterografia </w:t>
      </w:r>
      <w:r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TK 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>służy do oceny jelita cienkiego (np. w chorobie Crohna, niedrożnościach, guzach). Wymaga odpowiedniego przygotowania, aby jelita by</w:t>
      </w:r>
      <w:r w:rsidR="0035290C"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ły dobrze wypełnione </w:t>
      </w:r>
      <w:r w:rsidR="0004299C" w:rsidRPr="004246F2">
        <w:rPr>
          <w:rFonts w:ascii="Times New Roman" w:eastAsia="Times New Roman" w:hAnsi="Times New Roman" w:cs="Times New Roman"/>
          <w:color w:val="auto"/>
          <w:lang w:eastAsia="pl-PL"/>
        </w:rPr>
        <w:t>środkiem</w:t>
      </w:r>
      <w:r w:rsidR="004246F2"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35290C" w:rsidRPr="004246F2">
        <w:rPr>
          <w:rFonts w:ascii="Times New Roman" w:eastAsia="Times New Roman" w:hAnsi="Times New Roman" w:cs="Times New Roman"/>
          <w:color w:val="auto"/>
          <w:lang w:eastAsia="pl-PL"/>
        </w:rPr>
        <w:t>kontrastowym</w:t>
      </w:r>
      <w:r w:rsidR="004246F2" w:rsidRPr="004246F2">
        <w:rPr>
          <w:rFonts w:ascii="Times New Roman" w:eastAsia="Times New Roman" w:hAnsi="Times New Roman" w:cs="Times New Roman"/>
          <w:color w:val="auto"/>
          <w:lang w:eastAsia="pl-PL"/>
        </w:rPr>
        <w:t>.</w:t>
      </w:r>
    </w:p>
    <w:p w:rsidR="00201464" w:rsidRPr="004246F2" w:rsidRDefault="00201464" w:rsidP="009D753F">
      <w:pPr>
        <w:spacing w:line="240" w:lineRule="auto"/>
        <w:rPr>
          <w:rFonts w:ascii="Times New Roman" w:hAnsi="Times New Roman" w:cs="Times New Roman"/>
          <w:sz w:val="16"/>
          <w:szCs w:val="16"/>
          <w:lang w:eastAsia="pl-PL"/>
        </w:rPr>
      </w:pPr>
    </w:p>
    <w:p w:rsidR="003532CF" w:rsidRPr="004246F2" w:rsidRDefault="006119B2" w:rsidP="009D753F">
      <w:pPr>
        <w:pStyle w:val="Nagwek3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pl-PL"/>
        </w:rPr>
      </w:pPr>
      <w:r w:rsidRPr="004246F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pl-PL"/>
        </w:rPr>
        <w:t xml:space="preserve">   </w:t>
      </w:r>
      <w:r w:rsidR="003532CF" w:rsidRPr="004246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>2. Przygotowanie do badania</w:t>
      </w:r>
      <w:r w:rsidR="009D753F" w:rsidRPr="004246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>:</w:t>
      </w:r>
    </w:p>
    <w:p w:rsidR="003532CF" w:rsidRPr="004246F2" w:rsidRDefault="006119B2" w:rsidP="009D753F">
      <w:pPr>
        <w:pStyle w:val="Nagwek3"/>
        <w:spacing w:line="360" w:lineRule="auto"/>
        <w:ind w:left="142"/>
        <w:rPr>
          <w:rFonts w:ascii="Times New Roman" w:eastAsia="Times New Roman" w:hAnsi="Times New Roman" w:cs="Times New Roman"/>
          <w:bCs/>
          <w:color w:val="auto"/>
          <w:u w:val="single"/>
          <w:lang w:eastAsia="pl-PL"/>
        </w:rPr>
      </w:pPr>
      <w:r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</w:t>
      </w:r>
      <w:r w:rsidR="003532CF" w:rsidRPr="004246F2">
        <w:rPr>
          <w:rFonts w:ascii="Times New Roman" w:eastAsia="Times New Roman" w:hAnsi="Times New Roman" w:cs="Times New Roman"/>
          <w:bCs/>
          <w:color w:val="auto"/>
          <w:u w:val="single"/>
          <w:lang w:eastAsia="pl-PL"/>
        </w:rPr>
        <w:t>Na 24 godziny przed badaniem</w:t>
      </w:r>
    </w:p>
    <w:p w:rsidR="003532CF" w:rsidRPr="004246F2" w:rsidRDefault="006119B2" w:rsidP="005B1358">
      <w:pPr>
        <w:pStyle w:val="Nagwek3"/>
        <w:spacing w:line="276" w:lineRule="auto"/>
        <w:ind w:left="142"/>
        <w:rPr>
          <w:rFonts w:ascii="Times New Roman" w:eastAsia="Times New Roman" w:hAnsi="Times New Roman" w:cs="Times New Roman"/>
          <w:color w:val="auto"/>
          <w:lang w:eastAsia="pl-PL"/>
        </w:rPr>
      </w:pPr>
      <w:r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 • 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Dieta </w:t>
      </w:r>
      <w:r w:rsidR="003532CF"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>lekkostrawna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 (unikanie potraw tłustych, ciężkostrawnych, wzdymających).</w:t>
      </w:r>
    </w:p>
    <w:p w:rsidR="003532CF" w:rsidRPr="004246F2" w:rsidRDefault="006119B2" w:rsidP="005B1358">
      <w:pPr>
        <w:pStyle w:val="Nagwek3"/>
        <w:spacing w:line="276" w:lineRule="auto"/>
        <w:ind w:left="142"/>
        <w:rPr>
          <w:rFonts w:ascii="Times New Roman" w:eastAsia="Times New Roman" w:hAnsi="Times New Roman" w:cs="Times New Roman"/>
          <w:color w:val="auto"/>
          <w:lang w:eastAsia="pl-PL"/>
        </w:rPr>
      </w:pPr>
      <w:r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 • </w:t>
      </w:r>
      <w:r w:rsidR="005E60C9" w:rsidRPr="004246F2">
        <w:rPr>
          <w:rFonts w:ascii="Times New Roman" w:eastAsia="Times New Roman" w:hAnsi="Times New Roman" w:cs="Times New Roman"/>
          <w:color w:val="auto"/>
          <w:lang w:eastAsia="pl-PL"/>
        </w:rPr>
        <w:t>U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>nikanie surowych warzyw, owoców, pełnoziarnistych produktów i napojów gazowanych.</w:t>
      </w:r>
    </w:p>
    <w:p w:rsidR="003532CF" w:rsidRPr="004246F2" w:rsidRDefault="006119B2" w:rsidP="005B1358">
      <w:pPr>
        <w:pStyle w:val="Nagwek3"/>
        <w:spacing w:line="276" w:lineRule="auto"/>
        <w:rPr>
          <w:rFonts w:ascii="Times New Roman" w:eastAsia="Times New Roman" w:hAnsi="Times New Roman" w:cs="Times New Roman"/>
          <w:bCs/>
          <w:color w:val="auto"/>
          <w:u w:val="single"/>
          <w:lang w:eastAsia="pl-PL"/>
        </w:rPr>
      </w:pPr>
      <w:r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  </w:t>
      </w:r>
      <w:r w:rsidR="003532CF" w:rsidRPr="004246F2">
        <w:rPr>
          <w:rFonts w:ascii="Times New Roman" w:eastAsia="Times New Roman" w:hAnsi="Times New Roman" w:cs="Times New Roman"/>
          <w:bCs/>
          <w:color w:val="auto"/>
          <w:u w:val="single"/>
          <w:lang w:eastAsia="pl-PL"/>
        </w:rPr>
        <w:t>Na 4–6 godzin przed badaniem</w:t>
      </w:r>
    </w:p>
    <w:p w:rsidR="003532CF" w:rsidRPr="004246F2" w:rsidRDefault="006119B2" w:rsidP="005B1358">
      <w:pPr>
        <w:pStyle w:val="Nagwek3"/>
        <w:spacing w:line="276" w:lineRule="auto"/>
        <w:rPr>
          <w:rFonts w:ascii="Times New Roman" w:eastAsia="Times New Roman" w:hAnsi="Times New Roman" w:cs="Times New Roman"/>
          <w:color w:val="auto"/>
          <w:lang w:eastAsia="pl-PL"/>
        </w:rPr>
      </w:pPr>
      <w:r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  • </w:t>
      </w:r>
      <w:r w:rsidR="003532CF"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>Pozostać na czczo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 – nie jeść.</w:t>
      </w:r>
    </w:p>
    <w:p w:rsidR="007F130D" w:rsidRPr="004246F2" w:rsidRDefault="006119B2" w:rsidP="005B1358">
      <w:pPr>
        <w:pStyle w:val="Nagwek3"/>
        <w:spacing w:line="276" w:lineRule="auto"/>
        <w:rPr>
          <w:rFonts w:ascii="Times New Roman" w:hAnsi="Times New Roman" w:cs="Times New Roman"/>
          <w:color w:val="auto"/>
        </w:rPr>
      </w:pPr>
      <w:r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   • </w:t>
      </w:r>
      <w:r w:rsidR="005E60C9" w:rsidRPr="004246F2">
        <w:rPr>
          <w:rFonts w:ascii="Times New Roman" w:eastAsia="Times New Roman" w:hAnsi="Times New Roman" w:cs="Times New Roman"/>
          <w:color w:val="auto"/>
          <w:lang w:eastAsia="pl-PL"/>
        </w:rPr>
        <w:t>W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olno pić </w:t>
      </w:r>
      <w:r w:rsidR="003532CF"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>klarowne płyny</w:t>
      </w:r>
      <w:r w:rsidR="005E60C9"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 (woda, herbata bez mleka)</w:t>
      </w:r>
    </w:p>
    <w:p w:rsidR="005B1358" w:rsidRPr="004246F2" w:rsidRDefault="00E86617" w:rsidP="005B1358">
      <w:pPr>
        <w:pStyle w:val="Nagwek3"/>
        <w:spacing w:line="276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pl-PL"/>
        </w:rPr>
      </w:pPr>
      <w:r w:rsidRPr="004246F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pl-PL"/>
        </w:rPr>
        <w:t xml:space="preserve">  </w:t>
      </w:r>
    </w:p>
    <w:p w:rsidR="00201464" w:rsidRPr="004246F2" w:rsidRDefault="00E86617" w:rsidP="00201464">
      <w:pPr>
        <w:pStyle w:val="Nagwek3"/>
        <w:spacing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pl-PL"/>
        </w:rPr>
      </w:pPr>
      <w:r w:rsidRPr="004246F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pl-PL"/>
        </w:rPr>
        <w:t xml:space="preserve"> </w:t>
      </w:r>
      <w:r w:rsidR="005E60C9" w:rsidRPr="004246F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pl-PL"/>
        </w:rPr>
        <w:t>Środ</w:t>
      </w:r>
      <w:r w:rsidR="0035290C" w:rsidRPr="004246F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pl-PL"/>
        </w:rPr>
        <w:t>e</w:t>
      </w:r>
      <w:r w:rsidR="005E60C9" w:rsidRPr="004246F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pl-PL"/>
        </w:rPr>
        <w:t>k</w:t>
      </w:r>
      <w:r w:rsidR="0035290C" w:rsidRPr="004246F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pl-PL"/>
        </w:rPr>
        <w:t xml:space="preserve"> kontrastowy</w:t>
      </w:r>
    </w:p>
    <w:p w:rsidR="003532CF" w:rsidRPr="004246F2" w:rsidRDefault="006119B2" w:rsidP="00201464">
      <w:pPr>
        <w:pStyle w:val="Nagwek3"/>
        <w:spacing w:line="360" w:lineRule="auto"/>
        <w:rPr>
          <w:rFonts w:ascii="Times New Roman" w:eastAsia="Times New Roman" w:hAnsi="Times New Roman" w:cs="Times New Roman"/>
          <w:bCs/>
          <w:color w:val="auto"/>
          <w:kern w:val="36"/>
          <w:lang w:eastAsia="pl-PL"/>
        </w:rPr>
      </w:pPr>
      <w:r w:rsidRPr="004246F2">
        <w:rPr>
          <w:rFonts w:ascii="Times New Roman" w:eastAsia="Times New Roman" w:hAnsi="Times New Roman" w:cs="Times New Roman"/>
          <w:bCs/>
          <w:color w:val="auto"/>
          <w:kern w:val="36"/>
          <w:lang w:eastAsia="pl-PL"/>
        </w:rPr>
        <w:t xml:space="preserve">  </w:t>
      </w:r>
      <w:r w:rsidR="00E86617" w:rsidRPr="004246F2">
        <w:rPr>
          <w:rFonts w:ascii="Times New Roman" w:eastAsia="Times New Roman" w:hAnsi="Times New Roman" w:cs="Times New Roman"/>
          <w:bCs/>
          <w:color w:val="auto"/>
          <w:kern w:val="36"/>
          <w:lang w:eastAsia="pl-PL"/>
        </w:rPr>
        <w:t xml:space="preserve"> </w:t>
      </w:r>
      <w:r w:rsidR="005E60C9" w:rsidRPr="004246F2">
        <w:rPr>
          <w:rFonts w:ascii="Times New Roman" w:eastAsia="Times New Roman" w:hAnsi="Times New Roman" w:cs="Times New Roman"/>
          <w:b/>
          <w:bCs/>
          <w:color w:val="auto"/>
          <w:kern w:val="36"/>
          <w:lang w:eastAsia="pl-PL"/>
        </w:rPr>
        <w:t>Mannitol</w:t>
      </w:r>
      <w:r w:rsidR="003532CF" w:rsidRPr="004246F2">
        <w:rPr>
          <w:rFonts w:ascii="Times New Roman" w:eastAsia="Times New Roman" w:hAnsi="Times New Roman" w:cs="Times New Roman"/>
          <w:bCs/>
          <w:color w:val="auto"/>
          <w:kern w:val="36"/>
          <w:lang w:eastAsia="pl-PL"/>
        </w:rPr>
        <w:t xml:space="preserve"> (neutralny kontrast doustny)</w:t>
      </w:r>
    </w:p>
    <w:p w:rsidR="003532CF" w:rsidRPr="004246F2" w:rsidRDefault="006119B2" w:rsidP="005B1358">
      <w:pPr>
        <w:pStyle w:val="Nagwek3"/>
        <w:spacing w:line="276" w:lineRule="auto"/>
        <w:rPr>
          <w:rFonts w:ascii="Times New Roman" w:eastAsia="Times New Roman" w:hAnsi="Times New Roman" w:cs="Times New Roman"/>
          <w:color w:val="auto"/>
          <w:lang w:eastAsia="pl-PL"/>
        </w:rPr>
      </w:pPr>
      <w:r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  </w:t>
      </w:r>
      <w:r w:rsidR="00E86617"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- 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Mannitol stosuje się w postaci roztworu, którego zadaniem jest </w:t>
      </w:r>
      <w:r w:rsidR="003532CF"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rozszerzenie i wypełnienie jelita </w:t>
      </w:r>
      <w:r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 </w:t>
      </w:r>
      <w:r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br/>
        <w:t xml:space="preserve">   </w:t>
      </w:r>
      <w:r w:rsidR="009D753F"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 </w:t>
      </w:r>
      <w:r w:rsidR="003532CF"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>cienkiego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>.</w:t>
      </w:r>
    </w:p>
    <w:p w:rsidR="003532CF" w:rsidRPr="004246F2" w:rsidRDefault="00E86617" w:rsidP="009D753F">
      <w:pPr>
        <w:pStyle w:val="Nagwek3"/>
        <w:spacing w:line="360" w:lineRule="auto"/>
        <w:rPr>
          <w:rFonts w:ascii="Times New Roman" w:eastAsia="Times New Roman" w:hAnsi="Times New Roman" w:cs="Times New Roman"/>
          <w:bCs/>
          <w:color w:val="auto"/>
          <w:lang w:eastAsia="pl-PL"/>
        </w:rPr>
      </w:pPr>
      <w:r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  </w:t>
      </w:r>
      <w:r w:rsidR="003532CF" w:rsidRPr="004246F2">
        <w:rPr>
          <w:rFonts w:ascii="Times New Roman" w:eastAsia="Times New Roman" w:hAnsi="Times New Roman" w:cs="Times New Roman"/>
          <w:b/>
          <w:bCs/>
          <w:color w:val="auto"/>
          <w:lang w:eastAsia="pl-PL"/>
        </w:rPr>
        <w:t>Najczęściej stosowany roztwór</w:t>
      </w:r>
      <w:r w:rsidR="006119B2"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>:</w:t>
      </w:r>
    </w:p>
    <w:p w:rsidR="003532CF" w:rsidRPr="004246F2" w:rsidRDefault="00E86617" w:rsidP="009D753F">
      <w:pPr>
        <w:pStyle w:val="Nagwek3"/>
        <w:spacing w:line="360" w:lineRule="auto"/>
        <w:rPr>
          <w:rFonts w:ascii="Times New Roman" w:eastAsia="Times New Roman" w:hAnsi="Times New Roman" w:cs="Times New Roman"/>
          <w:color w:val="auto"/>
          <w:lang w:eastAsia="pl-PL"/>
        </w:rPr>
      </w:pPr>
      <w:r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  - </w:t>
      </w:r>
      <w:r w:rsidR="003532CF"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>Mannitol 2,5% lub 3%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</w:p>
    <w:p w:rsidR="003532CF" w:rsidRPr="004246F2" w:rsidRDefault="00E86617" w:rsidP="009D753F">
      <w:pPr>
        <w:pStyle w:val="Nagwek3"/>
        <w:spacing w:line="360" w:lineRule="auto"/>
        <w:rPr>
          <w:rFonts w:ascii="Times New Roman" w:eastAsia="Times New Roman" w:hAnsi="Times New Roman" w:cs="Times New Roman"/>
          <w:color w:val="auto"/>
          <w:lang w:eastAsia="pl-PL"/>
        </w:rPr>
      </w:pPr>
      <w:r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   - 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Łączna objętość: </w:t>
      </w:r>
      <w:r w:rsidR="003532CF"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>1000–1500 ml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>.</w:t>
      </w:r>
    </w:p>
    <w:p w:rsidR="003532CF" w:rsidRPr="004246F2" w:rsidRDefault="00E86617" w:rsidP="009D753F">
      <w:pPr>
        <w:pStyle w:val="Nagwek3"/>
        <w:spacing w:line="360" w:lineRule="auto"/>
        <w:rPr>
          <w:rFonts w:ascii="Times New Roman" w:eastAsia="Times New Roman" w:hAnsi="Times New Roman" w:cs="Times New Roman"/>
          <w:b/>
          <w:bCs/>
          <w:color w:val="auto"/>
          <w:lang w:eastAsia="pl-PL"/>
        </w:rPr>
      </w:pPr>
      <w:r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   </w:t>
      </w:r>
      <w:r w:rsidR="003532CF" w:rsidRPr="004246F2">
        <w:rPr>
          <w:rFonts w:ascii="Times New Roman" w:eastAsia="Times New Roman" w:hAnsi="Times New Roman" w:cs="Times New Roman"/>
          <w:b/>
          <w:bCs/>
          <w:color w:val="auto"/>
          <w:lang w:eastAsia="pl-PL"/>
        </w:rPr>
        <w:t>Standardowy schemat podania</w:t>
      </w:r>
    </w:p>
    <w:p w:rsidR="003532CF" w:rsidRPr="004246F2" w:rsidRDefault="00E86617" w:rsidP="005B1358">
      <w:pPr>
        <w:pStyle w:val="Nagwek3"/>
        <w:spacing w:line="276" w:lineRule="auto"/>
        <w:rPr>
          <w:rFonts w:ascii="Times New Roman" w:eastAsia="Times New Roman" w:hAnsi="Times New Roman" w:cs="Times New Roman"/>
          <w:bCs/>
          <w:color w:val="auto"/>
          <w:lang w:eastAsia="pl-PL"/>
        </w:rPr>
      </w:pPr>
      <w:r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   </w:t>
      </w:r>
      <w:r w:rsidR="003532CF"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>45–60 min przed badaniem</w:t>
      </w:r>
      <w:r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</w:t>
      </w:r>
      <w:r w:rsidRPr="004246F2">
        <w:rPr>
          <w:rFonts w:ascii="Times New Roman" w:eastAsia="Times New Roman" w:hAnsi="Times New Roman" w:cs="Times New Roman"/>
          <w:color w:val="auto"/>
          <w:lang w:eastAsia="pl-PL"/>
        </w:rPr>
        <w:t>p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>acjent zaczyna picie mannitolu.</w:t>
      </w:r>
      <w:r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 z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alecane tempo: </w:t>
      </w:r>
      <w:r w:rsidR="003532CF"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300–400 ml </w:t>
      </w:r>
      <w:r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br/>
        <w:t xml:space="preserve">    </w:t>
      </w:r>
      <w:r w:rsidR="003532CF"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>co 10–15 minut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>.</w:t>
      </w:r>
    </w:p>
    <w:p w:rsidR="003532CF" w:rsidRPr="004246F2" w:rsidRDefault="00E86617" w:rsidP="005B1358">
      <w:pPr>
        <w:pStyle w:val="Nagwek3"/>
        <w:spacing w:line="276" w:lineRule="auto"/>
        <w:rPr>
          <w:rFonts w:ascii="Times New Roman" w:eastAsia="Times New Roman" w:hAnsi="Times New Roman" w:cs="Times New Roman"/>
          <w:b/>
          <w:bCs/>
          <w:color w:val="auto"/>
          <w:lang w:eastAsia="pl-PL"/>
        </w:rPr>
      </w:pPr>
      <w:r w:rsidRPr="004246F2">
        <w:rPr>
          <w:rFonts w:ascii="Times New Roman" w:eastAsia="Times New Roman" w:hAnsi="Times New Roman" w:cs="Times New Roman"/>
          <w:b/>
          <w:bCs/>
          <w:color w:val="auto"/>
          <w:lang w:eastAsia="pl-PL"/>
        </w:rPr>
        <w:t xml:space="preserve">    </w:t>
      </w:r>
      <w:r w:rsidR="003532CF" w:rsidRPr="004246F2">
        <w:rPr>
          <w:rFonts w:ascii="Times New Roman" w:eastAsia="Times New Roman" w:hAnsi="Times New Roman" w:cs="Times New Roman"/>
          <w:b/>
          <w:bCs/>
          <w:color w:val="auto"/>
          <w:lang w:eastAsia="pl-PL"/>
        </w:rPr>
        <w:t>Schemat przykładowy</w:t>
      </w:r>
    </w:p>
    <w:p w:rsidR="003532CF" w:rsidRPr="004246F2" w:rsidRDefault="003A1986" w:rsidP="005B1358">
      <w:pPr>
        <w:pStyle w:val="Nagwek3"/>
        <w:spacing w:line="276" w:lineRule="auto"/>
        <w:rPr>
          <w:rFonts w:ascii="Times New Roman" w:eastAsia="Times New Roman" w:hAnsi="Times New Roman" w:cs="Times New Roman"/>
          <w:color w:val="auto"/>
          <w:lang w:eastAsia="pl-PL"/>
        </w:rPr>
      </w:pPr>
      <w:r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 </w:t>
      </w:r>
      <w:r w:rsidR="00E86617"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   </w:t>
      </w:r>
      <w:r w:rsidR="003532CF"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>0 min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 → 300 ml</w:t>
      </w:r>
    </w:p>
    <w:p w:rsidR="003532CF" w:rsidRPr="004246F2" w:rsidRDefault="00E86617" w:rsidP="005B1358">
      <w:pPr>
        <w:pStyle w:val="Nagwek3"/>
        <w:spacing w:line="276" w:lineRule="auto"/>
        <w:rPr>
          <w:rFonts w:ascii="Times New Roman" w:eastAsia="Times New Roman" w:hAnsi="Times New Roman" w:cs="Times New Roman"/>
          <w:color w:val="auto"/>
          <w:lang w:eastAsia="pl-PL"/>
        </w:rPr>
      </w:pPr>
      <w:r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   </w:t>
      </w:r>
      <w:r w:rsidR="003532CF"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>10 min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 → 300 ml</w:t>
      </w:r>
    </w:p>
    <w:p w:rsidR="003532CF" w:rsidRPr="004246F2" w:rsidRDefault="00E86617" w:rsidP="005B1358">
      <w:pPr>
        <w:pStyle w:val="Nagwek3"/>
        <w:spacing w:line="276" w:lineRule="auto"/>
        <w:rPr>
          <w:rFonts w:ascii="Times New Roman" w:eastAsia="Times New Roman" w:hAnsi="Times New Roman" w:cs="Times New Roman"/>
          <w:color w:val="auto"/>
          <w:lang w:eastAsia="pl-PL"/>
        </w:rPr>
      </w:pPr>
      <w:r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   </w:t>
      </w:r>
      <w:r w:rsidR="003532CF"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>20 min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 → 300 ml</w:t>
      </w:r>
    </w:p>
    <w:p w:rsidR="003532CF" w:rsidRPr="004246F2" w:rsidRDefault="00E86617" w:rsidP="005B1358">
      <w:pPr>
        <w:pStyle w:val="Nagwek3"/>
        <w:spacing w:line="276" w:lineRule="auto"/>
        <w:rPr>
          <w:rFonts w:ascii="Times New Roman" w:eastAsia="Times New Roman" w:hAnsi="Times New Roman" w:cs="Times New Roman"/>
          <w:color w:val="auto"/>
          <w:lang w:eastAsia="pl-PL"/>
        </w:rPr>
      </w:pPr>
      <w:r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   </w:t>
      </w:r>
      <w:r w:rsidR="003532CF"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>30 min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 → 200–300 ml</w:t>
      </w:r>
    </w:p>
    <w:p w:rsidR="003532CF" w:rsidRPr="004246F2" w:rsidRDefault="00E86617" w:rsidP="005B1358">
      <w:pPr>
        <w:pStyle w:val="Nagwek3"/>
        <w:spacing w:line="276" w:lineRule="auto"/>
        <w:rPr>
          <w:rFonts w:ascii="Times New Roman" w:eastAsia="Times New Roman" w:hAnsi="Times New Roman" w:cs="Times New Roman"/>
          <w:color w:val="auto"/>
          <w:lang w:eastAsia="pl-PL"/>
        </w:rPr>
      </w:pPr>
      <w:r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   </w:t>
      </w:r>
      <w:r w:rsidR="003532CF"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>Tuż przed badaniem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 → ostatnie 100–200 ml</w:t>
      </w:r>
    </w:p>
    <w:p w:rsidR="003532CF" w:rsidRPr="004246F2" w:rsidRDefault="00E86617" w:rsidP="005B1358">
      <w:pPr>
        <w:pStyle w:val="Nagwek3"/>
        <w:spacing w:line="276" w:lineRule="auto"/>
        <w:rPr>
          <w:rFonts w:ascii="Times New Roman" w:eastAsia="Times New Roman" w:hAnsi="Times New Roman" w:cs="Times New Roman"/>
          <w:color w:val="auto"/>
          <w:lang w:eastAsia="pl-PL"/>
        </w:rPr>
      </w:pPr>
      <w:r w:rsidRPr="004246F2">
        <w:rPr>
          <w:rFonts w:ascii="Times New Roman" w:eastAsia="Times New Roman" w:hAnsi="Times New Roman" w:cs="Times New Roman"/>
          <w:b/>
          <w:color w:val="auto"/>
          <w:lang w:eastAsia="pl-PL"/>
        </w:rPr>
        <w:t xml:space="preserve">    </w:t>
      </w:r>
      <w:r w:rsidR="003532CF" w:rsidRPr="004246F2">
        <w:rPr>
          <w:rFonts w:ascii="Times New Roman" w:eastAsia="Times New Roman" w:hAnsi="Times New Roman" w:cs="Times New Roman"/>
          <w:b/>
          <w:color w:val="auto"/>
          <w:lang w:eastAsia="pl-PL"/>
        </w:rPr>
        <w:t>Cel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: </w:t>
      </w:r>
      <w:r w:rsidR="003532CF"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>stopniowe wypełnienie jelita cienkiego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, bez gwałtownego przeczyszczenia (choć mannitol </w:t>
      </w:r>
      <w:r w:rsidRPr="004246F2">
        <w:rPr>
          <w:rFonts w:ascii="Times New Roman" w:eastAsia="Times New Roman" w:hAnsi="Times New Roman" w:cs="Times New Roman"/>
          <w:color w:val="auto"/>
          <w:lang w:eastAsia="pl-PL"/>
        </w:rPr>
        <w:br/>
        <w:t xml:space="preserve">    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>może wywołać biegunkę — to normalne).</w:t>
      </w:r>
    </w:p>
    <w:p w:rsidR="003532CF" w:rsidRPr="004246F2" w:rsidRDefault="00E86617" w:rsidP="005B1358">
      <w:pPr>
        <w:pStyle w:val="Nagwek3"/>
        <w:spacing w:line="27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</w:pPr>
      <w:r w:rsidRPr="004246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 xml:space="preserve"> </w:t>
      </w:r>
      <w:r w:rsidR="003532CF" w:rsidRPr="004246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>Uwagi praktyczne</w:t>
      </w:r>
    </w:p>
    <w:p w:rsidR="003532CF" w:rsidRPr="004246F2" w:rsidRDefault="00E86617" w:rsidP="005B1358">
      <w:pPr>
        <w:pStyle w:val="Nagwek3"/>
        <w:spacing w:line="276" w:lineRule="auto"/>
        <w:rPr>
          <w:rFonts w:ascii="Times New Roman" w:eastAsia="Times New Roman" w:hAnsi="Times New Roman" w:cs="Times New Roman"/>
          <w:color w:val="auto"/>
          <w:lang w:eastAsia="pl-PL"/>
        </w:rPr>
      </w:pPr>
      <w:r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   • 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Płyn </w:t>
      </w:r>
      <w:r w:rsidR="002E29AC" w:rsidRPr="004246F2">
        <w:rPr>
          <w:rFonts w:ascii="Times New Roman" w:eastAsia="Times New Roman" w:hAnsi="Times New Roman" w:cs="Times New Roman"/>
          <w:color w:val="auto"/>
          <w:lang w:eastAsia="pl-PL"/>
        </w:rPr>
        <w:t>powinien być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3532CF" w:rsidRPr="004246F2">
        <w:rPr>
          <w:rFonts w:ascii="Times New Roman" w:eastAsia="Times New Roman" w:hAnsi="Times New Roman" w:cs="Times New Roman"/>
          <w:bCs/>
          <w:color w:val="auto"/>
          <w:lang w:eastAsia="pl-PL"/>
        </w:rPr>
        <w:t>chłodny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>, co zmniejsza mdłości.</w:t>
      </w:r>
    </w:p>
    <w:p w:rsidR="003532CF" w:rsidRPr="004246F2" w:rsidRDefault="00E86617" w:rsidP="005B1358">
      <w:pPr>
        <w:pStyle w:val="Nagwek3"/>
        <w:spacing w:line="276" w:lineRule="auto"/>
        <w:rPr>
          <w:rFonts w:ascii="Times New Roman" w:eastAsia="Times New Roman" w:hAnsi="Times New Roman" w:cs="Times New Roman"/>
          <w:color w:val="auto"/>
          <w:lang w:eastAsia="pl-PL"/>
        </w:rPr>
      </w:pPr>
      <w:r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   • 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Przed wejściem do </w:t>
      </w:r>
      <w:r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Pracowni 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TK pacjent NIE powinien być odwodniony — można popijać </w:t>
      </w:r>
      <w:r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  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>wodę.</w:t>
      </w:r>
    </w:p>
    <w:p w:rsidR="00DA60DC" w:rsidRPr="004246F2" w:rsidRDefault="00E86617" w:rsidP="005B1358">
      <w:pPr>
        <w:pStyle w:val="Nagwek3"/>
        <w:spacing w:line="276" w:lineRule="auto"/>
        <w:rPr>
          <w:rFonts w:ascii="Times New Roman" w:eastAsia="Times New Roman" w:hAnsi="Times New Roman" w:cs="Times New Roman"/>
          <w:color w:val="auto"/>
          <w:lang w:eastAsia="pl-PL"/>
        </w:rPr>
      </w:pPr>
      <w:r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   •</w:t>
      </w:r>
      <w:r w:rsidR="005B1358" w:rsidRPr="004246F2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3532CF" w:rsidRPr="004246F2">
        <w:rPr>
          <w:rFonts w:ascii="Times New Roman" w:eastAsia="Times New Roman" w:hAnsi="Times New Roman" w:cs="Times New Roman"/>
          <w:color w:val="auto"/>
          <w:lang w:eastAsia="pl-PL"/>
        </w:rPr>
        <w:t>Mannitol nie może być podany w przypadku niedrożności mechanicznej.</w:t>
      </w:r>
    </w:p>
    <w:p w:rsidR="005B1358" w:rsidRPr="004246F2" w:rsidRDefault="005B1358" w:rsidP="005B1358">
      <w:pPr>
        <w:pStyle w:val="Nagwek3"/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246F2">
        <w:rPr>
          <w:rStyle w:val="Pogrubienie"/>
          <w:rFonts w:ascii="Times New Roman" w:hAnsi="Times New Roman" w:cs="Times New Roman"/>
          <w:b w:val="0"/>
          <w:bCs w:val="0"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:rsidR="0035290C" w:rsidRPr="004246F2" w:rsidRDefault="0035290C" w:rsidP="004246F2">
      <w:pPr>
        <w:rPr>
          <w:rFonts w:eastAsia="Times New Roman"/>
          <w:lang w:eastAsia="pl-PL"/>
        </w:rPr>
      </w:pPr>
      <w:r w:rsidRPr="004246F2">
        <w:rPr>
          <w:rStyle w:val="Pogrubienie"/>
          <w:rFonts w:ascii="Times New Roman" w:hAnsi="Times New Roman" w:cs="Times New Roman"/>
          <w:bCs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Leki dodatkowe (opcjonalne)</w:t>
      </w:r>
    </w:p>
    <w:p w:rsidR="0035290C" w:rsidRPr="004246F2" w:rsidRDefault="005B1358" w:rsidP="005B1358">
      <w:pPr>
        <w:pStyle w:val="Nagwek3"/>
        <w:spacing w:line="276" w:lineRule="auto"/>
        <w:rPr>
          <w:rFonts w:ascii="Times New Roman" w:hAnsi="Times New Roman" w:cs="Times New Roman"/>
          <w:color w:val="auto"/>
        </w:rPr>
      </w:pPr>
      <w:r w:rsidRPr="004246F2">
        <w:rPr>
          <w:rStyle w:val="Pogrubienie"/>
          <w:rFonts w:ascii="Times New Roman" w:hAnsi="Times New Roman" w:cs="Times New Roman"/>
          <w:color w:val="auto"/>
        </w:rPr>
        <w:t xml:space="preserve">   </w:t>
      </w:r>
      <w:proofErr w:type="spellStart"/>
      <w:r w:rsidR="0035290C" w:rsidRPr="004246F2">
        <w:rPr>
          <w:rStyle w:val="Pogrubienie"/>
          <w:rFonts w:ascii="Times New Roman" w:hAnsi="Times New Roman" w:cs="Times New Roman"/>
          <w:color w:val="auto"/>
        </w:rPr>
        <w:t>Spazmolityk</w:t>
      </w:r>
      <w:proofErr w:type="spellEnd"/>
      <w:r w:rsidR="0035290C" w:rsidRPr="004246F2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="0035290C" w:rsidRPr="004246F2">
        <w:rPr>
          <w:rFonts w:ascii="Times New Roman" w:hAnsi="Times New Roman" w:cs="Times New Roman"/>
          <w:color w:val="auto"/>
        </w:rPr>
        <w:t>Buscolysin</w:t>
      </w:r>
      <w:proofErr w:type="spellEnd"/>
      <w:r w:rsidR="0035290C" w:rsidRPr="004246F2">
        <w:rPr>
          <w:rFonts w:ascii="Times New Roman" w:hAnsi="Times New Roman" w:cs="Times New Roman"/>
          <w:color w:val="auto"/>
        </w:rPr>
        <w:t>/Buscopan (</w:t>
      </w:r>
      <w:proofErr w:type="spellStart"/>
      <w:r w:rsidR="0035290C" w:rsidRPr="004246F2">
        <w:rPr>
          <w:rFonts w:ascii="Times New Roman" w:hAnsi="Times New Roman" w:cs="Times New Roman"/>
          <w:color w:val="auto"/>
        </w:rPr>
        <w:t>butylobromek</w:t>
      </w:r>
      <w:proofErr w:type="spellEnd"/>
      <w:r w:rsidR="0035290C" w:rsidRPr="004246F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35290C" w:rsidRPr="004246F2">
        <w:rPr>
          <w:rFonts w:ascii="Times New Roman" w:hAnsi="Times New Roman" w:cs="Times New Roman"/>
          <w:color w:val="auto"/>
        </w:rPr>
        <w:t>hioscyny</w:t>
      </w:r>
      <w:proofErr w:type="spellEnd"/>
      <w:r w:rsidR="0035290C" w:rsidRPr="004246F2">
        <w:rPr>
          <w:rFonts w:ascii="Times New Roman" w:hAnsi="Times New Roman" w:cs="Times New Roman"/>
          <w:color w:val="auto"/>
        </w:rPr>
        <w:t>) 20 mg tuż przed skanowaniem.</w:t>
      </w:r>
    </w:p>
    <w:p w:rsidR="0035290C" w:rsidRPr="004246F2" w:rsidRDefault="005B1358" w:rsidP="005B1358">
      <w:pPr>
        <w:pStyle w:val="Nagwek3"/>
        <w:spacing w:line="276" w:lineRule="auto"/>
        <w:rPr>
          <w:rFonts w:ascii="Times New Roman" w:hAnsi="Times New Roman" w:cs="Times New Roman"/>
          <w:color w:val="auto"/>
        </w:rPr>
      </w:pPr>
      <w:r w:rsidRPr="004246F2">
        <w:rPr>
          <w:rFonts w:ascii="Times New Roman" w:hAnsi="Times New Roman" w:cs="Times New Roman"/>
          <w:color w:val="auto"/>
        </w:rPr>
        <w:t xml:space="preserve">   </w:t>
      </w:r>
      <w:r w:rsidR="0035290C" w:rsidRPr="004246F2">
        <w:rPr>
          <w:rFonts w:ascii="Times New Roman" w:hAnsi="Times New Roman" w:cs="Times New Roman"/>
          <w:color w:val="auto"/>
        </w:rPr>
        <w:t>- Zmniejsza perystaltykę jelit i poprawia jakość obrazu.</w:t>
      </w:r>
      <w:bookmarkStart w:id="0" w:name="_GoBack"/>
      <w:bookmarkEnd w:id="0"/>
    </w:p>
    <w:p w:rsidR="0035290C" w:rsidRPr="00E86617" w:rsidRDefault="0035290C" w:rsidP="005B1358">
      <w:pPr>
        <w:pStyle w:val="Nagwek3"/>
        <w:spacing w:line="276" w:lineRule="auto"/>
        <w:rPr>
          <w:rFonts w:ascii="Times New Roman" w:eastAsia="Times New Roman" w:hAnsi="Times New Roman" w:cs="Times New Roman"/>
          <w:color w:val="auto"/>
          <w:lang w:eastAsia="pl-PL"/>
        </w:rPr>
      </w:pPr>
    </w:p>
    <w:sectPr w:rsidR="0035290C" w:rsidRPr="00E86617" w:rsidSect="009D753F">
      <w:pgSz w:w="11906" w:h="16838"/>
      <w:pgMar w:top="284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B478A"/>
    <w:multiLevelType w:val="multilevel"/>
    <w:tmpl w:val="6856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915A3"/>
    <w:multiLevelType w:val="multilevel"/>
    <w:tmpl w:val="9F5E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635EF"/>
    <w:multiLevelType w:val="hybridMultilevel"/>
    <w:tmpl w:val="E0C45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E0623"/>
    <w:multiLevelType w:val="multilevel"/>
    <w:tmpl w:val="4E90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F710E"/>
    <w:multiLevelType w:val="hybridMultilevel"/>
    <w:tmpl w:val="4E4C4FD8"/>
    <w:lvl w:ilvl="0" w:tplc="D6CE45D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36E35755"/>
    <w:multiLevelType w:val="multilevel"/>
    <w:tmpl w:val="260E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65107"/>
    <w:multiLevelType w:val="multilevel"/>
    <w:tmpl w:val="72F4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0223B0"/>
    <w:multiLevelType w:val="multilevel"/>
    <w:tmpl w:val="864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14C1E"/>
    <w:multiLevelType w:val="multilevel"/>
    <w:tmpl w:val="AB7C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B942D4"/>
    <w:multiLevelType w:val="multilevel"/>
    <w:tmpl w:val="202E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010736"/>
    <w:multiLevelType w:val="multilevel"/>
    <w:tmpl w:val="8D34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26433F"/>
    <w:multiLevelType w:val="multilevel"/>
    <w:tmpl w:val="F8BE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1"/>
  </w:num>
  <w:num w:numId="7">
    <w:abstractNumId w:val="9"/>
  </w:num>
  <w:num w:numId="8">
    <w:abstractNumId w:val="1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6FA"/>
    <w:rsid w:val="0004299C"/>
    <w:rsid w:val="00201464"/>
    <w:rsid w:val="002E29AC"/>
    <w:rsid w:val="0035290C"/>
    <w:rsid w:val="003532CF"/>
    <w:rsid w:val="003A1986"/>
    <w:rsid w:val="004246F2"/>
    <w:rsid w:val="00537122"/>
    <w:rsid w:val="005B1358"/>
    <w:rsid w:val="005E60C9"/>
    <w:rsid w:val="0061058B"/>
    <w:rsid w:val="006119B2"/>
    <w:rsid w:val="00653AD9"/>
    <w:rsid w:val="0066730D"/>
    <w:rsid w:val="007F130D"/>
    <w:rsid w:val="00861B7B"/>
    <w:rsid w:val="00902992"/>
    <w:rsid w:val="009D753F"/>
    <w:rsid w:val="00A81232"/>
    <w:rsid w:val="00B166FA"/>
    <w:rsid w:val="00DA60DC"/>
    <w:rsid w:val="00E8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33DF"/>
  <w15:chartTrackingRefBased/>
  <w15:docId w15:val="{8AEE4153-04E1-4044-BD5C-0BE80B4A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2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32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32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532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3532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532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1058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10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TechnikTK</dc:creator>
  <cp:keywords/>
  <dc:description/>
  <cp:lastModifiedBy>Robert Kruszewski</cp:lastModifiedBy>
  <cp:revision>6</cp:revision>
  <cp:lastPrinted>2025-12-31T10:43:00Z</cp:lastPrinted>
  <dcterms:created xsi:type="dcterms:W3CDTF">2025-12-31T10:43:00Z</dcterms:created>
  <dcterms:modified xsi:type="dcterms:W3CDTF">2026-01-02T10:19:00Z</dcterms:modified>
</cp:coreProperties>
</file>