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ADE" w:rsidRDefault="00981ADE" w:rsidP="00ED1A01">
      <w:pPr>
        <w:pStyle w:val="justify"/>
        <w:shd w:val="clear" w:color="auto" w:fill="FFFFFF"/>
        <w:spacing w:line="360" w:lineRule="auto"/>
        <w:jc w:val="center"/>
        <w:rPr>
          <w:rStyle w:val="Pogrubienie"/>
        </w:rPr>
      </w:pPr>
      <w:r w:rsidRPr="00227DEB">
        <w:rPr>
          <w:rStyle w:val="Pogrubienie"/>
          <w:sz w:val="28"/>
          <w:szCs w:val="28"/>
        </w:rPr>
        <w:t>ZABIEG ANGIOPLASTYKI</w:t>
      </w:r>
      <w:r>
        <w:rPr>
          <w:rStyle w:val="Pogrubienie"/>
        </w:rPr>
        <w:t xml:space="preserve"> (procedura ma charakter leczniczy)</w:t>
      </w:r>
    </w:p>
    <w:p w:rsidR="00C7092E" w:rsidRDefault="00C7092E" w:rsidP="00C7092E">
      <w:pPr>
        <w:shd w:val="clear" w:color="auto" w:fill="FFFFFF"/>
        <w:jc w:val="center"/>
        <w:rPr>
          <w:b/>
          <w:sz w:val="24"/>
        </w:rPr>
      </w:pPr>
    </w:p>
    <w:p w:rsidR="00C7092E" w:rsidRPr="00ED1A01" w:rsidRDefault="00C7092E" w:rsidP="00C7092E">
      <w:pPr>
        <w:shd w:val="clear" w:color="auto" w:fill="FFFFFF"/>
        <w:jc w:val="center"/>
        <w:rPr>
          <w:b/>
          <w:sz w:val="24"/>
        </w:rPr>
      </w:pPr>
      <w:r w:rsidRPr="00ED1A01">
        <w:rPr>
          <w:b/>
          <w:sz w:val="24"/>
        </w:rPr>
        <w:t xml:space="preserve">PRZYGOTOWANIE DO ANGIOGRAFII – INFORMACJA DLA PACJENTA </w:t>
      </w:r>
      <w:r w:rsidRPr="00ED1A01">
        <w:rPr>
          <w:b/>
          <w:sz w:val="24"/>
        </w:rPr>
        <w:br/>
        <w:t>I ODDZIAŁU KIERUJĄCEGO</w:t>
      </w:r>
    </w:p>
    <w:p w:rsidR="00C7092E" w:rsidRDefault="00C7092E" w:rsidP="00C7092E">
      <w:pPr>
        <w:shd w:val="clear" w:color="auto" w:fill="FFFFFF"/>
        <w:rPr>
          <w:sz w:val="24"/>
        </w:rPr>
      </w:pPr>
    </w:p>
    <w:p w:rsidR="00C7092E" w:rsidRPr="003814E3"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kwalifikacja do badania naczyniowego – dostarczenie pełnej dokumentacji medycznej a zwłaszcza wyniki badań obrazowych razem z wykonaną dokumentacją zdjęciową;</w:t>
      </w:r>
    </w:p>
    <w:p w:rsidR="00C7092E"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poinformuj o wszystkich stosowanych lekach, także tych bez recepty. Zapytaj, czy powinieneś/powinnaś zaprzestać stosowania jakichś leków przed zabiegiem. Jeśli lekarz tego nie zaleci, przyjmij je przed badaniem jak zwykle;</w:t>
      </w:r>
    </w:p>
    <w:p w:rsidR="00C7092E"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poinformuj lekarza, jeśli kiedykolwiek wystąpiła u Ciebie reakcja alergiczna po podaniu środka kontrastowego w trakcie badań radiologicznych;</w:t>
      </w:r>
    </w:p>
    <w:p w:rsidR="00C7092E" w:rsidRDefault="00C7092E" w:rsidP="00C7092E">
      <w:pPr>
        <w:pStyle w:val="Akapitzlist"/>
        <w:numPr>
          <w:ilvl w:val="0"/>
          <w:numId w:val="12"/>
        </w:numPr>
        <w:shd w:val="clear" w:color="auto" w:fill="FFFFFF"/>
        <w:spacing w:line="360" w:lineRule="auto"/>
        <w:jc w:val="both"/>
      </w:pPr>
      <w:r w:rsidRPr="00CA37B2">
        <w:t>Niezbędne badania dodatkowe:</w:t>
      </w:r>
    </w:p>
    <w:p w:rsidR="00C7092E" w:rsidRPr="00CA37B2" w:rsidRDefault="00C7092E" w:rsidP="00C7092E">
      <w:pPr>
        <w:pStyle w:val="Akapitzlist"/>
        <w:shd w:val="clear" w:color="auto" w:fill="FFFFFF"/>
        <w:spacing w:line="360" w:lineRule="auto"/>
        <w:jc w:val="both"/>
      </w:pPr>
      <w:r>
        <w:t>- u kobiet w okresie rozrodczym oznaczenie Beta HCG</w:t>
      </w:r>
    </w:p>
    <w:p w:rsidR="00C7092E" w:rsidRPr="00CA37B2" w:rsidRDefault="00C7092E" w:rsidP="00C7092E">
      <w:pPr>
        <w:pStyle w:val="Akapitzlist"/>
        <w:shd w:val="clear" w:color="auto" w:fill="FFFFFF"/>
        <w:spacing w:line="360" w:lineRule="auto"/>
        <w:jc w:val="both"/>
      </w:pPr>
      <w:r w:rsidRPr="00CA37B2">
        <w:t xml:space="preserve">- badanie poziomu kreatyniny w surowicy krwi lub GFR </w:t>
      </w:r>
    </w:p>
    <w:p w:rsidR="00C7092E" w:rsidRPr="00CA37B2" w:rsidRDefault="00C7092E" w:rsidP="00C7092E">
      <w:pPr>
        <w:pStyle w:val="Akapitzlist"/>
        <w:shd w:val="clear" w:color="auto" w:fill="FFFFFF"/>
        <w:spacing w:line="360" w:lineRule="auto"/>
        <w:jc w:val="both"/>
        <w:rPr>
          <w:sz w:val="24"/>
        </w:rPr>
      </w:pPr>
      <w:r w:rsidRPr="00CA37B2">
        <w:rPr>
          <w:sz w:val="24"/>
        </w:rPr>
        <w:t>Za aktualne wyniki uznajemy:</w:t>
      </w:r>
    </w:p>
    <w:p w:rsidR="00C7092E" w:rsidRPr="00CA37B2" w:rsidRDefault="00C7092E" w:rsidP="00C7092E">
      <w:pPr>
        <w:pStyle w:val="Akapitzlist"/>
        <w:shd w:val="clear" w:color="auto" w:fill="FFFFFF"/>
        <w:spacing w:line="360" w:lineRule="auto"/>
        <w:jc w:val="both"/>
      </w:pPr>
      <w:r w:rsidRPr="00CA37B2">
        <w:t xml:space="preserve">- badanie poziomu kreatyniny wykonane w okresie 7 dni poprzedzających badanie u osób </w:t>
      </w:r>
      <w:r w:rsidRPr="00CA37B2">
        <w:br/>
        <w:t xml:space="preserve">  z dowodami/przesłankami wskazującymi na zaburzenia czynności nerek</w:t>
      </w:r>
    </w:p>
    <w:p w:rsidR="00C7092E" w:rsidRPr="00CA37B2" w:rsidRDefault="00C7092E" w:rsidP="00C7092E">
      <w:pPr>
        <w:pStyle w:val="Akapitzlist"/>
        <w:shd w:val="clear" w:color="auto" w:fill="FFFFFF"/>
        <w:spacing w:line="360" w:lineRule="auto"/>
        <w:jc w:val="both"/>
      </w:pPr>
      <w:r w:rsidRPr="00CA37B2">
        <w:t xml:space="preserve">- badanie poziomu kreatyniny wykonane w okresie 21 dni poprzedzających badanie </w:t>
      </w:r>
      <w:r>
        <w:t>angio</w:t>
      </w:r>
      <w:r w:rsidRPr="00CA37B2">
        <w:t>graficzne u osób zdrowych</w:t>
      </w:r>
    </w:p>
    <w:p w:rsidR="00C7092E" w:rsidRPr="006C0B6C" w:rsidRDefault="00C7092E" w:rsidP="00C7092E">
      <w:pPr>
        <w:pStyle w:val="Akapitzlist"/>
        <w:numPr>
          <w:ilvl w:val="0"/>
          <w:numId w:val="12"/>
        </w:numPr>
        <w:shd w:val="clear" w:color="auto" w:fill="FFFFFF"/>
        <w:spacing w:line="360" w:lineRule="auto"/>
        <w:ind w:left="714" w:hanging="357"/>
        <w:contextualSpacing w:val="0"/>
        <w:jc w:val="both"/>
        <w:rPr>
          <w:sz w:val="24"/>
          <w:u w:val="single"/>
        </w:rPr>
      </w:pPr>
      <w:r>
        <w:rPr>
          <w:sz w:val="24"/>
        </w:rPr>
        <w:t>dzień prz</w:t>
      </w:r>
      <w:r>
        <w:rPr>
          <w:sz w:val="24"/>
        </w:rPr>
        <w:t>e</w:t>
      </w:r>
      <w:r>
        <w:rPr>
          <w:sz w:val="24"/>
        </w:rPr>
        <w:t xml:space="preserve">d zabiegiem trzeba zadbać o odpowiednie nawodnienie. </w:t>
      </w:r>
      <w:r w:rsidRPr="006C0B6C">
        <w:rPr>
          <w:sz w:val="24"/>
          <w:u w:val="single"/>
        </w:rPr>
        <w:t>Wskazane jest wypicie 1,5-2 litrów płynów</w:t>
      </w:r>
      <w:r>
        <w:rPr>
          <w:sz w:val="24"/>
          <w:u w:val="single"/>
        </w:rPr>
        <w:t xml:space="preserve"> lub podanie ich we wlewie dożylnym</w:t>
      </w:r>
      <w:r w:rsidRPr="006C0B6C">
        <w:rPr>
          <w:sz w:val="24"/>
          <w:u w:val="single"/>
        </w:rPr>
        <w:t>;</w:t>
      </w:r>
    </w:p>
    <w:p w:rsidR="00C7092E"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kobiety powinny pamiętać o zmyciu lakieru do paznokci z dłoni i stóp;</w:t>
      </w:r>
    </w:p>
    <w:p w:rsidR="00C7092E"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w dniu badania należy pozostawać na czczo;</w:t>
      </w:r>
    </w:p>
    <w:p w:rsidR="00C7092E"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ogolenie skóry w miejscu planowego wprowadzenia cewnika naczyniowego (np. pachwiny);</w:t>
      </w:r>
    </w:p>
    <w:p w:rsidR="00C7092E"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przed badaniem trzeba zdjąć biżuterię, zegarek, itp., należy wyjąc protezy zębowe;</w:t>
      </w:r>
    </w:p>
    <w:p w:rsidR="00C7092E"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czas krwawienia i krzepnięcia – wykonany najwcześniej 2 – 3 dni przed badaniem;</w:t>
      </w:r>
    </w:p>
    <w:p w:rsidR="00C7092E"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 xml:space="preserve">aktualne świadectwo szczepienia przeciwko żółtaczce zakaźnej,  w wypadku braku szczepienia konieczne jest oznaczenie na 7 dni przed badaniem odpowiedniego antygenu anty </w:t>
      </w:r>
      <w:proofErr w:type="spellStart"/>
      <w:r>
        <w:rPr>
          <w:sz w:val="24"/>
        </w:rPr>
        <w:t>Hbs</w:t>
      </w:r>
      <w:proofErr w:type="spellEnd"/>
      <w:r>
        <w:rPr>
          <w:sz w:val="24"/>
        </w:rPr>
        <w:t xml:space="preserve"> (jeśli to możliwe także anty </w:t>
      </w:r>
      <w:proofErr w:type="spellStart"/>
      <w:r>
        <w:rPr>
          <w:sz w:val="24"/>
        </w:rPr>
        <w:t>Hbc</w:t>
      </w:r>
      <w:proofErr w:type="spellEnd"/>
      <w:r>
        <w:rPr>
          <w:sz w:val="24"/>
        </w:rPr>
        <w:t>);</w:t>
      </w:r>
    </w:p>
    <w:p w:rsidR="00C7092E"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właściwie wypełnione skierowanie do pracowni naczyniowej;</w:t>
      </w:r>
    </w:p>
    <w:p w:rsidR="00C7092E" w:rsidRDefault="00C7092E" w:rsidP="00C7092E">
      <w:pPr>
        <w:pStyle w:val="Akapitzlist"/>
        <w:numPr>
          <w:ilvl w:val="0"/>
          <w:numId w:val="12"/>
        </w:numPr>
        <w:shd w:val="clear" w:color="auto" w:fill="FFFFFF"/>
        <w:spacing w:line="360" w:lineRule="auto"/>
        <w:ind w:left="714" w:hanging="357"/>
        <w:contextualSpacing w:val="0"/>
        <w:jc w:val="both"/>
        <w:rPr>
          <w:sz w:val="24"/>
        </w:rPr>
      </w:pPr>
      <w:r>
        <w:rPr>
          <w:sz w:val="24"/>
        </w:rPr>
        <w:t>w niektórych przypadkach przez cały czas badania aż do czasu dostarczenia pacjenta na macierzysty oddział, bezwzględnie wymagana jest obecność lekarza z jednostki kierującej pacjenta.</w:t>
      </w:r>
    </w:p>
    <w:p w:rsidR="006F3DC8" w:rsidRDefault="006F3DC8" w:rsidP="00ED1A01">
      <w:pPr>
        <w:pStyle w:val="justify"/>
        <w:shd w:val="clear" w:color="auto" w:fill="FFFFFF"/>
        <w:spacing w:line="360" w:lineRule="auto"/>
        <w:jc w:val="center"/>
      </w:pPr>
    </w:p>
    <w:p w:rsidR="00981ADE" w:rsidRPr="00C7092E" w:rsidRDefault="00981ADE" w:rsidP="00ED1A01">
      <w:pPr>
        <w:pStyle w:val="justify"/>
        <w:shd w:val="clear" w:color="auto" w:fill="FFFFFF"/>
        <w:spacing w:line="360" w:lineRule="auto"/>
        <w:jc w:val="both"/>
        <w:rPr>
          <w:b/>
        </w:rPr>
      </w:pPr>
      <w:r w:rsidRPr="00C7092E">
        <w:rPr>
          <w:b/>
        </w:rPr>
        <w:t>Przebieg zabiegu:</w:t>
      </w:r>
      <w:bookmarkStart w:id="0" w:name="_GoBack"/>
      <w:bookmarkEnd w:id="0"/>
    </w:p>
    <w:p w:rsidR="000B24DB" w:rsidRDefault="00981ADE" w:rsidP="00731AD1">
      <w:pPr>
        <w:pStyle w:val="justify"/>
        <w:shd w:val="clear" w:color="auto" w:fill="FFFFFF"/>
        <w:spacing w:line="360" w:lineRule="auto"/>
        <w:jc w:val="both"/>
      </w:pPr>
      <w:r>
        <w:t xml:space="preserve">Po wstępnym badaniu angiograficznym i stwierdzeniu obecności krytycznego zwężenia tętnicy, cewnik diagnostyczny zamieniany jest na cewnik balonowy. Jest to podobna plastikowa, elastyczna rurka </w:t>
      </w:r>
      <w:r w:rsidR="000B24DB">
        <w:br/>
      </w:r>
      <w:r>
        <w:t>o średnicy 1mm z zamontowanym na końcu balonem, który podczas wprowadzenia cewnika do naczynia jest opróżniony i nie powoduje powiększenia średnicy cewnika. Po umieszczeniu cewnika w naczyniu</w:t>
      </w:r>
      <w:r w:rsidR="00F67A7F">
        <w:t xml:space="preserve">, </w:t>
      </w:r>
      <w:r w:rsidR="000B24DB">
        <w:br/>
      </w:r>
      <w:r w:rsidR="00F67A7F">
        <w:t xml:space="preserve">w taki sposób, że balon jest </w:t>
      </w:r>
      <w:r>
        <w:t>w miejscu zwężenia jest on wypełniony pod ciśnieniem c</w:t>
      </w:r>
      <w:r w:rsidR="00F67A7F">
        <w:t xml:space="preserve">o powoduje powiększenie balonu </w:t>
      </w:r>
      <w:r>
        <w:t xml:space="preserve">i rozszerzenie naczynia od środka. Jeżeli zwężenie nie rozszerza się </w:t>
      </w:r>
      <w:r w:rsidR="000B24DB">
        <w:br/>
      </w:r>
      <w:r>
        <w:t>do odpowiednich rozmiarów, przez cewnik wkładana jest specjalna proteza w kształcie sprężynki nazywana stentem, który stanowi dla tętnicy rusztowanie utrzymujące od wewnątrz poszerzony odcinek. Podczas zabiegu chory otrzymuje dożylnie 3000 j. Heparyny. Przez 48 godzin po zabiegu powinien otrzymać heparynę drobnocząsteczkową w dawc</w:t>
      </w:r>
      <w:r w:rsidR="000B24DB">
        <w:t xml:space="preserve">e leczniczej, a przez następne </w:t>
      </w:r>
      <w:r>
        <w:t>6 miesięcy 2 x dziennie 100 mg aspiryny (jeżeli nie ma przeciwskazań). Powikłania mogące wystąpić w trakcie lub po badaniu: krwiak w ok. nakłucia (&lt;3%), zamknięcie badanej tętnicy wymagające zabiegu chirurgicznego (2,5%). Podobnie jak przy każdym zabiegu przeprowadzanym w szpitalu istnieje możliwość wystąpienia zgonu, choć przypadki takie są niesłychanie rzadkie. Korzyści płynące z zabiegu to nieoperacyjne wyleczenie zwężenia tętnicy. Alternatywnym rozwiązaniem jest zabieg chirurgiczny</w:t>
      </w:r>
      <w:r w:rsidR="00731AD1">
        <w:t>.</w:t>
      </w:r>
    </w:p>
    <w:p w:rsidR="000B24DB" w:rsidRDefault="000B24DB" w:rsidP="00ED1A01">
      <w:pPr>
        <w:shd w:val="clear" w:color="auto" w:fill="FFFFFF"/>
        <w:rPr>
          <w:sz w:val="24"/>
        </w:rPr>
      </w:pPr>
    </w:p>
    <w:p w:rsidR="00081140" w:rsidRPr="005227F8" w:rsidRDefault="00081140" w:rsidP="00ED1A01">
      <w:pPr>
        <w:shd w:val="clear" w:color="auto" w:fill="FFFFFF"/>
        <w:spacing w:before="100" w:beforeAutospacing="1" w:after="100" w:afterAutospacing="1" w:line="240" w:lineRule="auto"/>
        <w:ind w:left="-76"/>
        <w:jc w:val="both"/>
        <w:rPr>
          <w:sz w:val="28"/>
          <w:szCs w:val="28"/>
          <w:u w:val="single"/>
          <w:lang w:eastAsia="pl-PL"/>
        </w:rPr>
      </w:pPr>
    </w:p>
    <w:sectPr w:rsidR="00081140" w:rsidRPr="005227F8" w:rsidSect="000B24DB">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672"/>
    <w:multiLevelType w:val="hybridMultilevel"/>
    <w:tmpl w:val="7F648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AB2A81"/>
    <w:multiLevelType w:val="hybridMultilevel"/>
    <w:tmpl w:val="C3680D48"/>
    <w:lvl w:ilvl="0" w:tplc="C7BE5C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194A45"/>
    <w:multiLevelType w:val="hybridMultilevel"/>
    <w:tmpl w:val="7C9C05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847196"/>
    <w:multiLevelType w:val="hybridMultilevel"/>
    <w:tmpl w:val="E13C6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5F0FA3"/>
    <w:multiLevelType w:val="hybridMultilevel"/>
    <w:tmpl w:val="02B64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4A3814"/>
    <w:multiLevelType w:val="hybridMultilevel"/>
    <w:tmpl w:val="0D4C6E80"/>
    <w:lvl w:ilvl="0" w:tplc="C7BE5CBC">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 w15:restartNumberingAfterBreak="0">
    <w:nsid w:val="31A00BED"/>
    <w:multiLevelType w:val="hybridMultilevel"/>
    <w:tmpl w:val="550AF2E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37794EB2"/>
    <w:multiLevelType w:val="hybridMultilevel"/>
    <w:tmpl w:val="920EBF78"/>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15:restartNumberingAfterBreak="0">
    <w:nsid w:val="41A05181"/>
    <w:multiLevelType w:val="hybridMultilevel"/>
    <w:tmpl w:val="36B402E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4B2C0F64"/>
    <w:multiLevelType w:val="hybridMultilevel"/>
    <w:tmpl w:val="36FCB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B43EE0"/>
    <w:multiLevelType w:val="hybridMultilevel"/>
    <w:tmpl w:val="BCFCC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B1278BE"/>
    <w:multiLevelType w:val="hybridMultilevel"/>
    <w:tmpl w:val="10B651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9E54E88"/>
    <w:multiLevelType w:val="hybridMultilevel"/>
    <w:tmpl w:val="E6F4C8A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6F990A76"/>
    <w:multiLevelType w:val="hybridMultilevel"/>
    <w:tmpl w:val="C2E0BD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5"/>
  </w:num>
  <w:num w:numId="5">
    <w:abstractNumId w:val="8"/>
  </w:num>
  <w:num w:numId="6">
    <w:abstractNumId w:val="7"/>
  </w:num>
  <w:num w:numId="7">
    <w:abstractNumId w:val="6"/>
  </w:num>
  <w:num w:numId="8">
    <w:abstractNumId w:val="12"/>
  </w:num>
  <w:num w:numId="9">
    <w:abstractNumId w:val="0"/>
  </w:num>
  <w:num w:numId="10">
    <w:abstractNumId w:val="4"/>
  </w:num>
  <w:num w:numId="11">
    <w:abstractNumId w:val="10"/>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2C"/>
    <w:rsid w:val="00016BBB"/>
    <w:rsid w:val="00081140"/>
    <w:rsid w:val="00083196"/>
    <w:rsid w:val="00087682"/>
    <w:rsid w:val="00096804"/>
    <w:rsid w:val="000B24DB"/>
    <w:rsid w:val="000E7578"/>
    <w:rsid w:val="000E7E3D"/>
    <w:rsid w:val="00165CA7"/>
    <w:rsid w:val="001A2EE0"/>
    <w:rsid w:val="001D2FC8"/>
    <w:rsid w:val="00215E32"/>
    <w:rsid w:val="00227DEB"/>
    <w:rsid w:val="002909A8"/>
    <w:rsid w:val="002D5DCB"/>
    <w:rsid w:val="0034047D"/>
    <w:rsid w:val="00377637"/>
    <w:rsid w:val="003F0F60"/>
    <w:rsid w:val="0045663A"/>
    <w:rsid w:val="004907A7"/>
    <w:rsid w:val="004D0C49"/>
    <w:rsid w:val="0052372C"/>
    <w:rsid w:val="005B13B4"/>
    <w:rsid w:val="005D2461"/>
    <w:rsid w:val="006F3DC8"/>
    <w:rsid w:val="00702113"/>
    <w:rsid w:val="0072074B"/>
    <w:rsid w:val="00731AD1"/>
    <w:rsid w:val="00764F07"/>
    <w:rsid w:val="007A60B3"/>
    <w:rsid w:val="008624AD"/>
    <w:rsid w:val="008E5489"/>
    <w:rsid w:val="00903E9B"/>
    <w:rsid w:val="009159A4"/>
    <w:rsid w:val="00916934"/>
    <w:rsid w:val="00962E7E"/>
    <w:rsid w:val="00972F20"/>
    <w:rsid w:val="00981ADE"/>
    <w:rsid w:val="00A17A69"/>
    <w:rsid w:val="00A52E56"/>
    <w:rsid w:val="00B160D4"/>
    <w:rsid w:val="00B66AD3"/>
    <w:rsid w:val="00BE59D9"/>
    <w:rsid w:val="00C7092E"/>
    <w:rsid w:val="00CA37B2"/>
    <w:rsid w:val="00CD4D85"/>
    <w:rsid w:val="00D3328C"/>
    <w:rsid w:val="00D43966"/>
    <w:rsid w:val="00DD586C"/>
    <w:rsid w:val="00E02C8C"/>
    <w:rsid w:val="00EA5A75"/>
    <w:rsid w:val="00ED1A01"/>
    <w:rsid w:val="00EE5AB6"/>
    <w:rsid w:val="00F67A7F"/>
    <w:rsid w:val="00FB42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3F48"/>
  <w15:docId w15:val="{4A474C1D-4EF3-4240-A605-2C211B09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6934"/>
    <w:pPr>
      <w:spacing w:after="160" w:line="259" w:lineRule="auto"/>
      <w:ind w:left="720"/>
      <w:contextualSpacing/>
    </w:pPr>
  </w:style>
  <w:style w:type="paragraph" w:customStyle="1" w:styleId="justify">
    <w:name w:val="justify"/>
    <w:basedOn w:val="Normalny"/>
    <w:rsid w:val="005D2461"/>
    <w:pPr>
      <w:spacing w:before="100" w:beforeAutospacing="1" w:after="100" w:afterAutospacing="1" w:line="240" w:lineRule="auto"/>
    </w:pPr>
    <w:rPr>
      <w:sz w:val="24"/>
      <w:szCs w:val="24"/>
      <w:lang w:eastAsia="pl-PL"/>
    </w:rPr>
  </w:style>
  <w:style w:type="character" w:styleId="Pogrubienie">
    <w:name w:val="Strong"/>
    <w:uiPriority w:val="22"/>
    <w:qFormat/>
    <w:rsid w:val="005D2461"/>
    <w:rPr>
      <w:b/>
      <w:bCs/>
    </w:rPr>
  </w:style>
  <w:style w:type="paragraph" w:styleId="Tekstdymka">
    <w:name w:val="Balloon Text"/>
    <w:basedOn w:val="Normalny"/>
    <w:link w:val="TekstdymkaZnak"/>
    <w:uiPriority w:val="99"/>
    <w:semiHidden/>
    <w:unhideWhenUsed/>
    <w:rsid w:val="00A52E5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2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2992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cp:lastModifiedBy>Robert Kruszewski</cp:lastModifiedBy>
  <cp:revision>3</cp:revision>
  <cp:lastPrinted>2025-08-14T06:50:00Z</cp:lastPrinted>
  <dcterms:created xsi:type="dcterms:W3CDTF">2025-12-29T12:44:00Z</dcterms:created>
  <dcterms:modified xsi:type="dcterms:W3CDTF">2025-12-29T12:57:00Z</dcterms:modified>
</cp:coreProperties>
</file>