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4BF" w:rsidRPr="003734BF" w:rsidRDefault="003734BF" w:rsidP="003734BF">
      <w:pPr>
        <w:rPr>
          <w:b/>
          <w:bCs/>
          <w:sz w:val="28"/>
          <w:szCs w:val="28"/>
        </w:rPr>
      </w:pPr>
      <w:r w:rsidRPr="003734BF">
        <w:rPr>
          <w:b/>
          <w:bCs/>
          <w:sz w:val="28"/>
          <w:szCs w:val="28"/>
        </w:rPr>
        <w:t xml:space="preserve">Tomografia komputerowa ze wzmocnieniem kontrastowym </w:t>
      </w:r>
    </w:p>
    <w:p w:rsidR="003565E2" w:rsidRDefault="003734BF" w:rsidP="003734BF">
      <w:pPr>
        <w:jc w:val="both"/>
      </w:pPr>
      <w:r w:rsidRPr="00BD10D9">
        <w:t>Badanie tomografii komputerowej (w skrócie TK lub CT) polega na wykonaniu serii zdjęć przez układ lampa rentgenowska</w:t>
      </w:r>
      <w:r>
        <w:t xml:space="preserve"> </w:t>
      </w:r>
      <w:r w:rsidRPr="00BD10D9">
        <w:t>- detektor obrazu kręcących się wokół pacjenta. Następnie komputer dzięki specjalnym algorytmom przetwarza zebrane obrazy umożliwiając tworzenie przekrojów ciała.</w:t>
      </w:r>
    </w:p>
    <w:p w:rsidR="003734BF" w:rsidRDefault="003734BF" w:rsidP="003734BF">
      <w:pPr>
        <w:jc w:val="both"/>
        <w:rPr>
          <w:b/>
          <w:bCs/>
        </w:rPr>
      </w:pPr>
      <w:r w:rsidRPr="00BD10D9">
        <w:rPr>
          <w:b/>
          <w:bCs/>
        </w:rPr>
        <w:t>Przygotowanie:</w:t>
      </w:r>
    </w:p>
    <w:p w:rsidR="003734BF" w:rsidRPr="003734BF" w:rsidRDefault="003734BF" w:rsidP="00460A66">
      <w:pPr>
        <w:numPr>
          <w:ilvl w:val="0"/>
          <w:numId w:val="2"/>
        </w:numPr>
        <w:spacing w:line="240" w:lineRule="auto"/>
        <w:jc w:val="both"/>
        <w:rPr>
          <w:bCs/>
        </w:rPr>
      </w:pPr>
      <w:r w:rsidRPr="003734BF">
        <w:rPr>
          <w:bCs/>
        </w:rPr>
        <w:t>Przed badaniem TK z kontrastem podanym dożylnie należy dostarczyć wynik badania poziomu kreatyniny w surowicy krwi (wynik ważny jest 3 miesiące)</w:t>
      </w:r>
    </w:p>
    <w:p w:rsidR="003734BF" w:rsidRPr="003734BF" w:rsidRDefault="003734BF" w:rsidP="00460A66">
      <w:pPr>
        <w:numPr>
          <w:ilvl w:val="0"/>
          <w:numId w:val="2"/>
        </w:numPr>
        <w:spacing w:line="240" w:lineRule="auto"/>
        <w:jc w:val="both"/>
        <w:rPr>
          <w:bCs/>
        </w:rPr>
      </w:pPr>
      <w:r w:rsidRPr="003734BF">
        <w:rPr>
          <w:bCs/>
        </w:rPr>
        <w:t>Pacjenci z nadczynnością tarczycy, którzy NIE przyjmują leków - Euthyrox lub Thyrozol powinni mieć dodatkowo aktualny wynik poziomu TSH.</w:t>
      </w:r>
    </w:p>
    <w:p w:rsidR="003734BF" w:rsidRPr="003734BF" w:rsidRDefault="003734BF" w:rsidP="00460A66">
      <w:pPr>
        <w:numPr>
          <w:ilvl w:val="0"/>
          <w:numId w:val="2"/>
        </w:numPr>
        <w:spacing w:line="240" w:lineRule="auto"/>
        <w:jc w:val="both"/>
        <w:rPr>
          <w:bCs/>
        </w:rPr>
      </w:pPr>
      <w:r w:rsidRPr="003734BF">
        <w:rPr>
          <w:bCs/>
        </w:rPr>
        <w:t xml:space="preserve">Przed badaniem nie należy odstawiać żadnych leków. </w:t>
      </w:r>
    </w:p>
    <w:p w:rsidR="003734BF" w:rsidRPr="003734BF" w:rsidRDefault="003734BF" w:rsidP="00460A66">
      <w:pPr>
        <w:numPr>
          <w:ilvl w:val="0"/>
          <w:numId w:val="2"/>
        </w:numPr>
        <w:spacing w:line="240" w:lineRule="auto"/>
        <w:jc w:val="both"/>
        <w:rPr>
          <w:bCs/>
        </w:rPr>
      </w:pPr>
      <w:r w:rsidRPr="003734BF">
        <w:rPr>
          <w:bCs/>
        </w:rPr>
        <w:t xml:space="preserve">Zaleca się aby na badanie ubrać się w wygodny, luźny strój, unikać metalowych dodatków takich jak zamki, guziki, klamry pasków, agrafki itp. </w:t>
      </w:r>
    </w:p>
    <w:p w:rsidR="003734BF" w:rsidRPr="003734BF" w:rsidRDefault="003734BF" w:rsidP="00460A66">
      <w:pPr>
        <w:numPr>
          <w:ilvl w:val="0"/>
          <w:numId w:val="2"/>
        </w:numPr>
        <w:spacing w:line="240" w:lineRule="auto"/>
        <w:jc w:val="both"/>
        <w:rPr>
          <w:bCs/>
        </w:rPr>
      </w:pPr>
      <w:r w:rsidRPr="003734BF">
        <w:rPr>
          <w:bCs/>
        </w:rPr>
        <w:t>Prosimy o przyniesienie i przekazanie do wglądu posiadanej dokumentacji medycznej np. kart wypisowych leczenia szpitalnego, opisów poprzednio wykonanych badań TK z płytkami CD oraz wyniki RTG.</w:t>
      </w:r>
    </w:p>
    <w:p w:rsidR="003734BF" w:rsidRPr="003734BF" w:rsidRDefault="003734BF" w:rsidP="00460A66">
      <w:pPr>
        <w:numPr>
          <w:ilvl w:val="0"/>
          <w:numId w:val="2"/>
        </w:numPr>
        <w:spacing w:line="240" w:lineRule="auto"/>
        <w:jc w:val="both"/>
        <w:rPr>
          <w:bCs/>
        </w:rPr>
      </w:pPr>
      <w:r w:rsidRPr="003734BF">
        <w:rPr>
          <w:bCs/>
        </w:rPr>
        <w:t>Przynieść ze sobą na badanie  1 litr wody niegazowanej</w:t>
      </w:r>
    </w:p>
    <w:p w:rsidR="003734BF" w:rsidRPr="003734BF" w:rsidRDefault="003734BF" w:rsidP="00460A66">
      <w:pPr>
        <w:numPr>
          <w:ilvl w:val="0"/>
          <w:numId w:val="2"/>
        </w:numPr>
        <w:spacing w:line="240" w:lineRule="auto"/>
        <w:jc w:val="both"/>
        <w:rPr>
          <w:bCs/>
        </w:rPr>
      </w:pPr>
      <w:r w:rsidRPr="003734BF">
        <w:rPr>
          <w:bCs/>
        </w:rPr>
        <w:t>W dniu badania pacjent powinien być na czczo minimum 6 h przed badaniem</w:t>
      </w:r>
    </w:p>
    <w:p w:rsidR="003734BF" w:rsidRPr="005A711A" w:rsidRDefault="003734BF" w:rsidP="003734BF">
      <w:pPr>
        <w:jc w:val="both"/>
        <w:rPr>
          <w:bCs/>
        </w:rPr>
      </w:pPr>
      <w:r w:rsidRPr="003734BF">
        <w:rPr>
          <w:bCs/>
        </w:rPr>
        <w:t xml:space="preserve">Na badanie należy zgłosić się minimum 30 minut przed wyznaczonym czasem w celu wypełnienia ankiety </w:t>
      </w:r>
      <w:r w:rsidR="00460A66">
        <w:rPr>
          <w:bCs/>
        </w:rPr>
        <w:br/>
      </w:r>
      <w:r w:rsidRPr="003734BF">
        <w:rPr>
          <w:bCs/>
        </w:rPr>
        <w:t>o stanie zdrowia i podpisania świadomej zgody</w:t>
      </w:r>
    </w:p>
    <w:p w:rsidR="003734BF" w:rsidRDefault="003734BF" w:rsidP="003734BF">
      <w:pPr>
        <w:jc w:val="both"/>
        <w:rPr>
          <w:b/>
          <w:bCs/>
        </w:rPr>
      </w:pPr>
      <w:r w:rsidRPr="00BD10D9">
        <w:rPr>
          <w:b/>
          <w:bCs/>
        </w:rPr>
        <w:t>Przebieg</w:t>
      </w:r>
      <w:r w:rsidR="003A0EAC">
        <w:rPr>
          <w:b/>
          <w:bCs/>
        </w:rPr>
        <w:t xml:space="preserve"> badania</w:t>
      </w:r>
      <w:r w:rsidRPr="00BD10D9">
        <w:rPr>
          <w:b/>
          <w:bCs/>
        </w:rPr>
        <w:t>:</w:t>
      </w:r>
    </w:p>
    <w:p w:rsidR="003734BF" w:rsidRPr="00BD10D9" w:rsidRDefault="003734BF" w:rsidP="003A0EAC">
      <w:pPr>
        <w:numPr>
          <w:ilvl w:val="0"/>
          <w:numId w:val="2"/>
        </w:numPr>
        <w:spacing w:line="240" w:lineRule="auto"/>
        <w:jc w:val="both"/>
        <w:rPr>
          <w:bCs/>
        </w:rPr>
      </w:pPr>
      <w:r w:rsidRPr="00BD10D9">
        <w:rPr>
          <w:bCs/>
        </w:rPr>
        <w:t>Zdjąć spinki do włosów, biżuterię, okulary, aparaty słuchowe, niestałe protezy zębowe. Wszelkich informacji w tej kwestii udzieli osoba wykonująca badanie, ponieważ nie do każdego badania pacjent jest tak samo przygotowywany.</w:t>
      </w:r>
    </w:p>
    <w:p w:rsidR="003734BF" w:rsidRPr="00BD10D9" w:rsidRDefault="003734BF" w:rsidP="003A0EAC">
      <w:pPr>
        <w:numPr>
          <w:ilvl w:val="0"/>
          <w:numId w:val="2"/>
        </w:numPr>
        <w:spacing w:line="240" w:lineRule="auto"/>
        <w:jc w:val="both"/>
        <w:rPr>
          <w:bCs/>
        </w:rPr>
      </w:pPr>
      <w:r w:rsidRPr="00BD10D9">
        <w:rPr>
          <w:bCs/>
        </w:rPr>
        <w:t xml:space="preserve">W trackie badania pacjent leży na stole który wjeżdża w głąb urządzenia </w:t>
      </w:r>
    </w:p>
    <w:p w:rsidR="003734BF" w:rsidRPr="00BD10D9" w:rsidRDefault="003734BF" w:rsidP="003A0EAC">
      <w:pPr>
        <w:numPr>
          <w:ilvl w:val="0"/>
          <w:numId w:val="2"/>
        </w:numPr>
        <w:spacing w:line="240" w:lineRule="auto"/>
        <w:jc w:val="both"/>
        <w:rPr>
          <w:bCs/>
        </w:rPr>
      </w:pPr>
      <w:r w:rsidRPr="00BD10D9">
        <w:rPr>
          <w:bCs/>
        </w:rPr>
        <w:t xml:space="preserve">Pielęgniarka zakłada wkłucie oraz podłącza specjalny jednorazowy dren którym podawany jest przez specjalne urządzenie środek kontrastujący </w:t>
      </w:r>
    </w:p>
    <w:p w:rsidR="003734BF" w:rsidRPr="00BD10D9" w:rsidRDefault="003734BF" w:rsidP="003A0EAC">
      <w:pPr>
        <w:numPr>
          <w:ilvl w:val="0"/>
          <w:numId w:val="2"/>
        </w:numPr>
        <w:spacing w:line="240" w:lineRule="auto"/>
        <w:jc w:val="both"/>
        <w:rPr>
          <w:bCs/>
        </w:rPr>
      </w:pPr>
      <w:r w:rsidRPr="00BD10D9">
        <w:rPr>
          <w:bCs/>
        </w:rPr>
        <w:t>W przypadku badania niektórych okolic ciała jak kręgosłup lędźwiowy, jama brzuszna</w:t>
      </w:r>
      <w:r>
        <w:rPr>
          <w:bCs/>
        </w:rPr>
        <w:br/>
      </w:r>
      <w:r w:rsidRPr="00BD10D9">
        <w:rPr>
          <w:bCs/>
        </w:rPr>
        <w:t xml:space="preserve"> i miednica czy klatka piersiowa, pacjent może zostać poproszony o uniesieni rąk nad głowę </w:t>
      </w:r>
      <w:r>
        <w:rPr>
          <w:bCs/>
        </w:rPr>
        <w:br/>
      </w:r>
      <w:r w:rsidRPr="00BD10D9">
        <w:rPr>
          <w:bCs/>
        </w:rPr>
        <w:t xml:space="preserve">i położeniu ich na specjalnej podkładce. </w:t>
      </w:r>
    </w:p>
    <w:p w:rsidR="003734BF" w:rsidRDefault="003734BF" w:rsidP="003734BF">
      <w:pPr>
        <w:jc w:val="both"/>
        <w:rPr>
          <w:bCs/>
        </w:rPr>
      </w:pPr>
      <w:r w:rsidRPr="00BD10D9">
        <w:rPr>
          <w:bCs/>
        </w:rPr>
        <w:t>W trakcie badania pacjent bezwzględnie powinien stosować się do komend podawanych przez urządzenie.</w:t>
      </w:r>
    </w:p>
    <w:p w:rsidR="003734BF" w:rsidRPr="00BD10D9" w:rsidRDefault="003734BF" w:rsidP="003A0EAC">
      <w:pPr>
        <w:spacing w:line="240" w:lineRule="auto"/>
        <w:jc w:val="both"/>
        <w:rPr>
          <w:b/>
          <w:bCs/>
        </w:rPr>
      </w:pPr>
      <w:bookmarkStart w:id="0" w:name="_GoBack"/>
      <w:bookmarkEnd w:id="0"/>
      <w:r w:rsidRPr="00BD10D9">
        <w:rPr>
          <w:b/>
          <w:bCs/>
        </w:rPr>
        <w:t>Możliwe skutki uboczne</w:t>
      </w:r>
    </w:p>
    <w:p w:rsidR="003734BF" w:rsidRPr="00BD10D9" w:rsidRDefault="003734BF" w:rsidP="003A0EAC">
      <w:pPr>
        <w:numPr>
          <w:ilvl w:val="0"/>
          <w:numId w:val="2"/>
        </w:numPr>
        <w:spacing w:line="240" w:lineRule="auto"/>
        <w:jc w:val="both"/>
        <w:rPr>
          <w:bCs/>
        </w:rPr>
      </w:pPr>
      <w:r w:rsidRPr="00BD10D9">
        <w:rPr>
          <w:bCs/>
        </w:rPr>
        <w:t>Środek cieniujący jest substancją obcą dla organizmu, a więc mogącą powodować reakcje uboczne, które najczęściej są krótkotrwałe, jednak w niektórych sytuacjach ich nasilenie jest większe i wymaga leczenia.</w:t>
      </w:r>
    </w:p>
    <w:p w:rsidR="003734BF" w:rsidRPr="00BD10D9" w:rsidRDefault="003734BF" w:rsidP="003A0EAC">
      <w:pPr>
        <w:numPr>
          <w:ilvl w:val="0"/>
          <w:numId w:val="2"/>
        </w:numPr>
        <w:spacing w:line="240" w:lineRule="auto"/>
        <w:jc w:val="both"/>
        <w:rPr>
          <w:bCs/>
        </w:rPr>
      </w:pPr>
      <w:r w:rsidRPr="00BD10D9">
        <w:rPr>
          <w:bCs/>
        </w:rPr>
        <w:t xml:space="preserve">Reakcje niepożądane dzielimy na: </w:t>
      </w:r>
    </w:p>
    <w:p w:rsidR="003A0EAC" w:rsidRDefault="003734BF" w:rsidP="003A0EAC">
      <w:pPr>
        <w:spacing w:line="240" w:lineRule="auto"/>
        <w:jc w:val="both"/>
        <w:rPr>
          <w:bCs/>
        </w:rPr>
      </w:pPr>
      <w:r w:rsidRPr="00BD10D9">
        <w:rPr>
          <w:bCs/>
        </w:rPr>
        <w:t>Łagodne, łagodna pokrzywka, łagodny świąd, rumień, nudności/łagodne wymioty, uczucie gorąca/dreszcze, niepokój, zwolnienie czynności serca i spadek ciśnienia tętniczego krwi, która ustępu</w:t>
      </w:r>
      <w:r w:rsidR="003A0EAC">
        <w:rPr>
          <w:bCs/>
        </w:rPr>
        <w:t>je samoistnie.</w:t>
      </w:r>
    </w:p>
    <w:p w:rsidR="003734BF" w:rsidRPr="00BD10D9" w:rsidRDefault="003734BF" w:rsidP="003A0EAC">
      <w:pPr>
        <w:spacing w:line="240" w:lineRule="auto"/>
        <w:jc w:val="both"/>
        <w:rPr>
          <w:bCs/>
        </w:rPr>
      </w:pPr>
      <w:r w:rsidRPr="00BD10D9">
        <w:rPr>
          <w:bCs/>
        </w:rPr>
        <w:t>Umiarkowane: nasilona pokrzywka, łagodny skurcz oskrzeli, obrzęk twarzy/krtani, zwolnienie czynności serca i spadek ciśnienia tętniczego krwi.</w:t>
      </w:r>
    </w:p>
    <w:p w:rsidR="00EC7AE4" w:rsidRDefault="00EC7AE4" w:rsidP="003A0EAC">
      <w:pPr>
        <w:spacing w:line="240" w:lineRule="auto"/>
        <w:jc w:val="both"/>
        <w:rPr>
          <w:bCs/>
        </w:rPr>
      </w:pPr>
    </w:p>
    <w:p w:rsidR="00EC7AE4" w:rsidRDefault="00EC7AE4" w:rsidP="003A0EAC">
      <w:pPr>
        <w:spacing w:line="240" w:lineRule="auto"/>
        <w:jc w:val="both"/>
        <w:rPr>
          <w:bCs/>
        </w:rPr>
      </w:pPr>
    </w:p>
    <w:p w:rsidR="00EC7AE4" w:rsidRDefault="00EC7AE4" w:rsidP="003A0EAC">
      <w:pPr>
        <w:spacing w:line="240" w:lineRule="auto"/>
        <w:jc w:val="both"/>
        <w:rPr>
          <w:bCs/>
        </w:rPr>
      </w:pPr>
    </w:p>
    <w:p w:rsidR="003734BF" w:rsidRPr="00BD10D9" w:rsidRDefault="003734BF" w:rsidP="003A0EAC">
      <w:pPr>
        <w:spacing w:line="240" w:lineRule="auto"/>
        <w:jc w:val="both"/>
        <w:rPr>
          <w:bCs/>
        </w:rPr>
      </w:pPr>
      <w:r w:rsidRPr="00BD10D9">
        <w:rPr>
          <w:bCs/>
        </w:rPr>
        <w:lastRenderedPageBreak/>
        <w:t>Ciężkie: wstrząs hipotensyjny, zatrzymanie oddechu, zatrzymanie akcji serca, zaburzenie rytmu serca, drgawki.</w:t>
      </w:r>
    </w:p>
    <w:p w:rsidR="003734BF" w:rsidRPr="00BD10D9" w:rsidRDefault="003734BF" w:rsidP="003A0EAC">
      <w:pPr>
        <w:numPr>
          <w:ilvl w:val="0"/>
          <w:numId w:val="2"/>
        </w:numPr>
        <w:spacing w:line="240" w:lineRule="auto"/>
        <w:jc w:val="both"/>
        <w:rPr>
          <w:bCs/>
        </w:rPr>
      </w:pPr>
      <w:r w:rsidRPr="00BD10D9">
        <w:rPr>
          <w:bCs/>
        </w:rPr>
        <w:t>Opóźnione reakcje niepożądane</w:t>
      </w:r>
      <w:r w:rsidR="003A0EAC">
        <w:rPr>
          <w:bCs/>
        </w:rPr>
        <w:t xml:space="preserve"> </w:t>
      </w:r>
      <w:r w:rsidRPr="00BD10D9">
        <w:rPr>
          <w:bCs/>
        </w:rPr>
        <w:t xml:space="preserve">- reakcja niepożądana, która występuje w przedziale czasowym od </w:t>
      </w:r>
      <w:r w:rsidR="009E559D">
        <w:rPr>
          <w:bCs/>
        </w:rPr>
        <w:br/>
      </w:r>
      <w:r w:rsidRPr="00BD10D9">
        <w:rPr>
          <w:bCs/>
        </w:rPr>
        <w:t xml:space="preserve">1 godziny do 1 tygodnia po wstrzyknięciu środka kontrastowego- reakcje skórne. Ryzyko wystąpienia reakcji niepożądanej zwiększ się w przypadku leczenia interleukiną. </w:t>
      </w:r>
    </w:p>
    <w:p w:rsidR="003734BF" w:rsidRPr="00460A66" w:rsidRDefault="003734BF" w:rsidP="003734BF">
      <w:pPr>
        <w:numPr>
          <w:ilvl w:val="0"/>
          <w:numId w:val="2"/>
        </w:numPr>
        <w:spacing w:line="240" w:lineRule="auto"/>
        <w:jc w:val="both"/>
        <w:rPr>
          <w:bCs/>
        </w:rPr>
      </w:pPr>
      <w:r w:rsidRPr="00BD10D9">
        <w:rPr>
          <w:bCs/>
        </w:rPr>
        <w:t xml:space="preserve">Większość ww. powikłań może wymagać kolejnych zabiegów/ procedur, zmiany sposobu leczenia, przedłużenia okresu leczenia a </w:t>
      </w:r>
      <w:r w:rsidR="00460A66">
        <w:rPr>
          <w:bCs/>
        </w:rPr>
        <w:t xml:space="preserve">także być przyczyną śmierci.  </w:t>
      </w:r>
    </w:p>
    <w:sectPr w:rsidR="003734BF" w:rsidRPr="00460A66" w:rsidSect="00EC7AE4">
      <w:pgSz w:w="11906" w:h="16838"/>
      <w:pgMar w:top="851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B5A2E"/>
    <w:multiLevelType w:val="hybridMultilevel"/>
    <w:tmpl w:val="DF78B5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C7B2780"/>
    <w:multiLevelType w:val="multilevel"/>
    <w:tmpl w:val="565C6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B0"/>
    <w:rsid w:val="003565E2"/>
    <w:rsid w:val="003734BF"/>
    <w:rsid w:val="003A0EAC"/>
    <w:rsid w:val="00460A66"/>
    <w:rsid w:val="005A711A"/>
    <w:rsid w:val="00926848"/>
    <w:rsid w:val="009E559D"/>
    <w:rsid w:val="00A2589B"/>
    <w:rsid w:val="00D83CB0"/>
    <w:rsid w:val="00EC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D7BE84"/>
  <w15:chartTrackingRefBased/>
  <w15:docId w15:val="{AB4BC4C0-867D-4632-ADD6-5153E3CF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5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2589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Zakład Radiologii</dc:creator>
  <cp:keywords/>
  <dc:description/>
  <cp:lastModifiedBy>Robert Kruszewski</cp:lastModifiedBy>
  <cp:revision>2</cp:revision>
  <cp:lastPrinted>2025-11-12T09:54:00Z</cp:lastPrinted>
  <dcterms:created xsi:type="dcterms:W3CDTF">2025-12-29T12:45:00Z</dcterms:created>
  <dcterms:modified xsi:type="dcterms:W3CDTF">2025-12-29T12:45:00Z</dcterms:modified>
</cp:coreProperties>
</file>