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D5594" w14:textId="77777777" w:rsidR="007E69BC" w:rsidRDefault="007E69BC" w:rsidP="007E69BC">
      <w:pPr>
        <w:spacing w:after="92" w:line="259" w:lineRule="auto"/>
        <w:ind w:left="48" w:firstLine="0"/>
        <w:jc w:val="left"/>
        <w:rPr>
          <w:sz w:val="26"/>
        </w:rPr>
      </w:pPr>
      <w:bookmarkStart w:id="0" w:name="_GoBack"/>
      <w:bookmarkEnd w:id="0"/>
      <w:r>
        <w:rPr>
          <w:sz w:val="26"/>
        </w:rPr>
        <w:t>INFORMACJA O ZASADACH SPRAWOWANIA OPIEKI NAD CHORYM:</w:t>
      </w:r>
    </w:p>
    <w:p w14:paraId="5318C0F7" w14:textId="77777777" w:rsidR="007E69BC" w:rsidRDefault="007E69BC" w:rsidP="007E69BC">
      <w:pPr>
        <w:spacing w:after="92" w:line="259" w:lineRule="auto"/>
        <w:ind w:left="48" w:firstLine="0"/>
        <w:jc w:val="left"/>
      </w:pPr>
    </w:p>
    <w:p w14:paraId="77AFB864" w14:textId="77777777" w:rsidR="007E69BC" w:rsidRDefault="007E69BC" w:rsidP="007E69BC">
      <w:pPr>
        <w:ind w:left="43" w:right="57" w:firstLine="10"/>
      </w:pPr>
      <w:r>
        <w:t>W czasie pobytu w Uniwersyteckim Szpitalu Klinicznym w Białymstoku pacjent znajduje się w szczególnej sytuacji mogącej wywołać poczucie lęku, niepewności, a wręcz bezradności, dlatego też szczegółowego znaczenia nabiera prawo pacjenta do dodatkowej opieki pielęgnacyjnej przez krewnych lub osoby wskazane przez pacjenta. Stanowi ono przejaw poszanowania praw pacjenta i jego autonomii.</w:t>
      </w:r>
    </w:p>
    <w:p w14:paraId="2B41CD6A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Pacjent w Uniwersyteckim Szpitalu Klinicznym w Białymstoku bez względu na wiek może skorzystać z prawa do dodatkowej opieki pielęgniarskiej.</w:t>
      </w:r>
    </w:p>
    <w:p w14:paraId="1672235E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Uczestniczenie w procesie opieki nad pacjentem może być sprawowane przez krewnych lub osoby wskazane przez pacjenta pod warunkiem nie zakłócania prawidłowego procesu udzielania świadczeń medycznych, nie zakłócania spokoju i intymności pozostałych pacjentów.</w:t>
      </w:r>
    </w:p>
    <w:p w14:paraId="33C3880B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W sytuacji, kiedy pacjent nie jest w stanie wyrazić swojej woli i nie posiada przedstawiciela ustawowego dopuszcza się uczestniczenie w procesie opieki nad nim przez najbliższą rodzinę.</w:t>
      </w:r>
    </w:p>
    <w:p w14:paraId="6F46DEFE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Krewni lub osoby wskazane przez pacjenta uczestniczący w procesie opieki po poinformowaniu lekarza/pielęgniarki co do zakresu, czasu i miejsca wykonywania czynności tej opieki oraz uzyskaniu akceptacji na wykonanie tych czynności. W tym samym czasie uczestniczyć w procesie opieki nad pacjentem może tylko jedna osoba.</w:t>
      </w:r>
    </w:p>
    <w:p w14:paraId="0CE59DAE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 xml:space="preserve">Czynności związane z opieką świadczone przez krewnych lub osoby wskazane przez pacjenta nie mogą zakłócać rytmu pracy personelu medycznego oraz mogą być ograniczone ze względów </w:t>
      </w:r>
      <w:proofErr w:type="spellStart"/>
      <w:r>
        <w:t>sanitarno</w:t>
      </w:r>
      <w:proofErr w:type="spellEnd"/>
      <w:r>
        <w:t xml:space="preserve"> epidemiologicznych, porządkowych lub ze względu na innych chorych przebywających w Klinice/Oddziale.</w:t>
      </w:r>
    </w:p>
    <w:p w14:paraId="5FDEC2CC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Krewni lub osoby wskazane przez pacjenta uczestniczący w procesie opieki są zobowiązane do przestrzegania następujących zasad podczas pobytu w Klinice/Oddziale, polegających na zakazie:</w:t>
      </w:r>
    </w:p>
    <w:p w14:paraId="7FE3FADA" w14:textId="23022545" w:rsidR="007E69BC" w:rsidRDefault="007E69BC" w:rsidP="007E69BC">
      <w:pPr>
        <w:pStyle w:val="Akapitzlist"/>
        <w:numPr>
          <w:ilvl w:val="0"/>
          <w:numId w:val="5"/>
        </w:numPr>
        <w:ind w:right="57"/>
      </w:pPr>
      <w:r>
        <w:t xml:space="preserve">wnoszenia i spożywania na terenie Uniwersyteckiego Szpitala Klinicznego </w:t>
      </w:r>
      <w:r>
        <w:br/>
        <w:t>w Białymstoku napojów alkoholowych, palenia wyrobów tytoniowych oraz obrotu, posiadania i używania narkotyków, środków odurzających, substancji psychotropowych i innych podobnie działających,</w:t>
      </w:r>
    </w:p>
    <w:p w14:paraId="5366E0E3" w14:textId="77777777" w:rsidR="007E69BC" w:rsidRDefault="007E69BC" w:rsidP="007E69BC">
      <w:pPr>
        <w:pStyle w:val="Akapitzlist"/>
        <w:numPr>
          <w:ilvl w:val="0"/>
          <w:numId w:val="5"/>
        </w:numPr>
      </w:pPr>
      <w:r w:rsidRPr="007E69BC">
        <w:t>wstępu na teren Uniwersyteckiego Szpitala Klinicznego w Białymstoku dla osób odwiedzających pozostających pod wpływem alkoholu, narkotyków lub innych podobnych środków,</w:t>
      </w:r>
    </w:p>
    <w:p w14:paraId="7E92E73C" w14:textId="15EED73A" w:rsidR="007E69BC" w:rsidRDefault="007E69BC" w:rsidP="007E69BC">
      <w:pPr>
        <w:pStyle w:val="Akapitzlist"/>
        <w:numPr>
          <w:ilvl w:val="0"/>
          <w:numId w:val="5"/>
        </w:numPr>
      </w:pPr>
      <w:r>
        <w:t>h</w:t>
      </w:r>
      <w:r>
        <w:t>andlu obnośnego,</w:t>
      </w:r>
    </w:p>
    <w:p w14:paraId="15ECA4EE" w14:textId="77777777" w:rsidR="007E69BC" w:rsidRDefault="007E69BC" w:rsidP="007E69BC">
      <w:pPr>
        <w:pStyle w:val="Akapitzlist"/>
        <w:numPr>
          <w:ilvl w:val="0"/>
          <w:numId w:val="5"/>
        </w:numPr>
        <w:spacing w:line="327" w:lineRule="auto"/>
        <w:ind w:right="57"/>
      </w:pPr>
      <w:r>
        <w:t xml:space="preserve">wprowadzania zwierząt do budynku Uniwersyteckiego Szpitala Klinicznego </w:t>
      </w:r>
      <w:r>
        <w:br/>
        <w:t>w Białymstoku,</w:t>
      </w:r>
    </w:p>
    <w:p w14:paraId="533D5B46" w14:textId="77777777" w:rsidR="007E69BC" w:rsidRDefault="007E69BC" w:rsidP="007E69BC">
      <w:pPr>
        <w:pStyle w:val="Akapitzlist"/>
        <w:numPr>
          <w:ilvl w:val="0"/>
          <w:numId w:val="5"/>
        </w:numPr>
      </w:pPr>
      <w:r w:rsidRPr="007E69BC">
        <w:t>prowadzenia głośnych rozmów,</w:t>
      </w:r>
    </w:p>
    <w:p w14:paraId="4AABA318" w14:textId="7988EC30" w:rsidR="007E69BC" w:rsidRDefault="007E69BC" w:rsidP="007E69BC">
      <w:pPr>
        <w:pStyle w:val="Akapitzlist"/>
        <w:numPr>
          <w:ilvl w:val="0"/>
          <w:numId w:val="5"/>
        </w:numPr>
      </w:pPr>
      <w:r>
        <w:t>zakłócania spokoju innych pacjentów,</w:t>
      </w:r>
    </w:p>
    <w:p w14:paraId="14632C52" w14:textId="77777777" w:rsidR="007E69BC" w:rsidRDefault="007E69BC" w:rsidP="007E69BC">
      <w:pPr>
        <w:pStyle w:val="Akapitzlist"/>
        <w:numPr>
          <w:ilvl w:val="0"/>
          <w:numId w:val="5"/>
        </w:numPr>
      </w:pPr>
      <w:r w:rsidRPr="007E69BC">
        <w:lastRenderedPageBreak/>
        <w:t xml:space="preserve">siadania na łóżku chorego i łóżkach innych pacjentów, </w:t>
      </w:r>
    </w:p>
    <w:p w14:paraId="04E89E7F" w14:textId="44BCA718" w:rsidR="007E69BC" w:rsidRPr="007E69BC" w:rsidRDefault="007E69BC" w:rsidP="007E69BC">
      <w:pPr>
        <w:pStyle w:val="Akapitzlist"/>
        <w:numPr>
          <w:ilvl w:val="0"/>
          <w:numId w:val="5"/>
        </w:numPr>
      </w:pPr>
      <w:r>
        <w:t>d</w:t>
      </w:r>
      <w:r>
        <w:t>ostarczania choremu artykułów spożywczych, które zostały zabronione przez personel medyczny.</w:t>
      </w:r>
    </w:p>
    <w:p w14:paraId="14D9E028" w14:textId="77777777" w:rsidR="007E69BC" w:rsidRDefault="007E69BC" w:rsidP="007E69BC">
      <w:pPr>
        <w:pStyle w:val="Akapitzlist"/>
        <w:ind w:left="892" w:firstLine="0"/>
      </w:pPr>
    </w:p>
    <w:p w14:paraId="0D319C00" w14:textId="77777777" w:rsidR="007E69BC" w:rsidRDefault="007E69BC" w:rsidP="007E69BC">
      <w:pPr>
        <w:numPr>
          <w:ilvl w:val="0"/>
          <w:numId w:val="1"/>
        </w:numPr>
        <w:spacing w:after="141"/>
        <w:ind w:right="57" w:hanging="365"/>
      </w:pPr>
      <w:r>
        <w:t>Uczestniczyć w procesie opieki nie mogą krewi lub osoby:</w:t>
      </w:r>
    </w:p>
    <w:p w14:paraId="433A69E4" w14:textId="77777777" w:rsidR="007E69BC" w:rsidRDefault="007E69BC" w:rsidP="007E69BC">
      <w:pPr>
        <w:numPr>
          <w:ilvl w:val="1"/>
          <w:numId w:val="1"/>
        </w:numPr>
        <w:spacing w:after="6"/>
        <w:ind w:right="57" w:hanging="365"/>
      </w:pPr>
      <w:r>
        <w:t>pod wpływem alkoholu,</w:t>
      </w:r>
    </w:p>
    <w:p w14:paraId="32FD2B04" w14:textId="77777777" w:rsidR="007E69BC" w:rsidRDefault="007E69BC" w:rsidP="007E69BC">
      <w:pPr>
        <w:numPr>
          <w:ilvl w:val="1"/>
          <w:numId w:val="1"/>
        </w:numPr>
        <w:spacing w:after="6"/>
        <w:ind w:right="57" w:hanging="365"/>
      </w:pPr>
      <w:r>
        <w:t>chore (z objawami infekcji),</w:t>
      </w:r>
    </w:p>
    <w:p w14:paraId="35681477" w14:textId="77777777" w:rsidR="007E69BC" w:rsidRDefault="007E69BC" w:rsidP="007E69BC">
      <w:pPr>
        <w:numPr>
          <w:ilvl w:val="1"/>
          <w:numId w:val="1"/>
        </w:numPr>
        <w:spacing w:after="6"/>
        <w:ind w:right="57" w:hanging="365"/>
      </w:pPr>
      <w:r>
        <w:t>nie przestrzegające zasad higieny,</w:t>
      </w:r>
    </w:p>
    <w:p w14:paraId="74E5F52A" w14:textId="77777777" w:rsidR="007E69BC" w:rsidRDefault="007E69BC" w:rsidP="007E69BC">
      <w:pPr>
        <w:numPr>
          <w:ilvl w:val="1"/>
          <w:numId w:val="1"/>
        </w:numPr>
        <w:spacing w:after="6"/>
        <w:ind w:right="57" w:hanging="365"/>
      </w:pPr>
      <w:r>
        <w:t>stosujące swoje metody pielęgnacyjno-lecznicze,</w:t>
      </w:r>
    </w:p>
    <w:p w14:paraId="34FB4797" w14:textId="77777777" w:rsidR="007E69BC" w:rsidRDefault="007E69BC" w:rsidP="007E69BC">
      <w:pPr>
        <w:numPr>
          <w:ilvl w:val="1"/>
          <w:numId w:val="1"/>
        </w:numPr>
        <w:spacing w:after="6"/>
        <w:ind w:right="57" w:hanging="365"/>
      </w:pPr>
      <w:r>
        <w:t>nie przestrzegające regulaminu organizacyjnego.</w:t>
      </w:r>
    </w:p>
    <w:p w14:paraId="26F64519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Rodzaj oraz zakres opieki pielęgnacyjnej określony jest przez personel medyczny (pielęgniarkę) indywidualnie dla każdego pacjenta.</w:t>
      </w:r>
    </w:p>
    <w:p w14:paraId="50C5905F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Krewni i osoby wskazane przez pacjenta mogą uczestniczyć w procesie opieki poprzez wykonywanie:</w:t>
      </w:r>
    </w:p>
    <w:p w14:paraId="46406082" w14:textId="77777777" w:rsidR="007E69BC" w:rsidRDefault="007E69BC" w:rsidP="007E69BC">
      <w:pPr>
        <w:pStyle w:val="Akapitzlist"/>
        <w:numPr>
          <w:ilvl w:val="0"/>
          <w:numId w:val="4"/>
        </w:numPr>
        <w:ind w:right="57"/>
      </w:pPr>
      <w:r w:rsidRPr="00BF6987">
        <w:t xml:space="preserve">czynności związanych z utrzymaniem właściwego stanu higieny: toaleta ciała w łóżku, kąpiel/mycie w łazience, mycie głowy, czesanie, pomoc w zaspokajaniu potrzeb fizjologicznych, zmiana </w:t>
      </w:r>
      <w:proofErr w:type="spellStart"/>
      <w:r w:rsidRPr="00BF6987">
        <w:t>pieluchomajtek</w:t>
      </w:r>
      <w:proofErr w:type="spellEnd"/>
      <w:r w:rsidRPr="00BF6987">
        <w:t>, ścielenie łóżka bez zmiany bielizny, ścielenie łóżka ze zmianą bielizny (pościelowej, osobistej), obcinanie paznokci, golenie, toaletę przeciwodleżynową (oklepywanie);</w:t>
      </w:r>
    </w:p>
    <w:p w14:paraId="2EC32675" w14:textId="77777777" w:rsidR="007E69BC" w:rsidRDefault="007E69BC" w:rsidP="007E69BC">
      <w:pPr>
        <w:pStyle w:val="Akapitzlist"/>
        <w:numPr>
          <w:ilvl w:val="0"/>
          <w:numId w:val="4"/>
        </w:numPr>
        <w:spacing w:after="161"/>
        <w:ind w:right="57"/>
      </w:pPr>
      <w:r>
        <w:t>czynności związanych ze sprawnością ruchową: pomoc przy wstawaniu z łóżka, pomoc przy chodzeniu, pomoc w zapewnianiu wygodnej pozycji siedzącej, obracanie na bok, pomoc w zmianie pozycji, uczestniczenie w procesie rehabilitacji w porozumieniu z rehabilitantem (spacerowanie po korytarzu, sadzanie w łóżku), zmianę pozycji ułożenia ciała (odwracanie na boki);</w:t>
      </w:r>
      <w:r w:rsidRPr="00BF6987">
        <w:t xml:space="preserve"> </w:t>
      </w:r>
      <w:r>
        <w:t xml:space="preserve">czynności związanych z karmieniem: karmienie </w:t>
      </w:r>
      <w:r>
        <w:br/>
        <w:t>z wyjątkiem pacjentów nieprzytomnych i mających problemy z połykaniem, ściśle według zaleconej diety, po uzgodnieniu z lekarzem prowadzącym, zwilżanie ust, podawanie płynów do picia;</w:t>
      </w:r>
    </w:p>
    <w:p w14:paraId="0FA71812" w14:textId="77777777" w:rsidR="007E69BC" w:rsidRDefault="007E69BC" w:rsidP="007E69BC">
      <w:pPr>
        <w:pStyle w:val="Akapitzlist"/>
        <w:numPr>
          <w:ilvl w:val="0"/>
          <w:numId w:val="4"/>
        </w:numPr>
        <w:spacing w:after="161"/>
        <w:ind w:right="57"/>
      </w:pPr>
      <w:r>
        <w:t>zaspokajanie potrzeb emocjonalnych i duchowych (czytanie, rozmowa).</w:t>
      </w:r>
    </w:p>
    <w:p w14:paraId="18531B8B" w14:textId="77777777" w:rsidR="007E69BC" w:rsidRDefault="007E69BC" w:rsidP="007E69BC">
      <w:pPr>
        <w:numPr>
          <w:ilvl w:val="0"/>
          <w:numId w:val="1"/>
        </w:numPr>
        <w:spacing w:after="135"/>
        <w:ind w:right="57" w:hanging="365"/>
      </w:pPr>
      <w:r>
        <w:t>Inne czynności pielęgnacyjne i opiekuńcze nie wymienione w powyższym wykazie wymagają zgłoszenia personelowi medycznemu i uzyskania zgody na ich wykonanie.</w:t>
      </w:r>
    </w:p>
    <w:p w14:paraId="47547565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 xml:space="preserve">W Klinikach/Oddziałach i na odcinkach intensywnej opieki medycznej uczestniczenie </w:t>
      </w:r>
      <w:r>
        <w:br/>
        <w:t>w procesie opieki nad pacjentem krewnych lub osób wskazanych przez pacjenta odbywa się tylko i wyłącznie po bezpośrednim skontaktowaniu się z pielęgniarką dyżurną danej Kliniki/Oddziału.</w:t>
      </w:r>
    </w:p>
    <w:p w14:paraId="0E286BA0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 xml:space="preserve">W przypadku Kliniki Perinatologii i Położnictwa ze Szkołą Rodzenia uczestniczenie </w:t>
      </w:r>
      <w:r>
        <w:br/>
        <w:t>w procesie opieki nad pacjentem krewnych lub osób wskazanych przez pacjenta dotyczy również towarzyszenia przy porodzie.</w:t>
      </w:r>
    </w:p>
    <w:p w14:paraId="3FB59AFD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 xml:space="preserve">W przypadku Kliniki Neonatologicznej zakres uczestniczenia w procesie opieki nad pacjentem krewnych lub osób wskazanych przez pacjenta odbywa się pod nadzorem pracowników Uniwersyteckiego Szpitala Klinicznego w Białymstoku. Uczestniczenie </w:t>
      </w:r>
      <w:r>
        <w:br/>
      </w:r>
      <w:r>
        <w:lastRenderedPageBreak/>
        <w:t xml:space="preserve">w procesie opieki nad pacjentem może obejmować pomoc matce w karmieniu piersią </w:t>
      </w:r>
      <w:r>
        <w:br/>
        <w:t>i przewijanie noworodka.</w:t>
      </w:r>
    </w:p>
    <w:p w14:paraId="3507A8CA" w14:textId="77777777" w:rsidR="007E69BC" w:rsidRDefault="007E69BC" w:rsidP="007E69BC">
      <w:pPr>
        <w:numPr>
          <w:ilvl w:val="0"/>
          <w:numId w:val="1"/>
        </w:numPr>
        <w:spacing w:after="68"/>
        <w:ind w:right="57" w:hanging="365"/>
      </w:pPr>
      <w:r>
        <w:t>Krewni lub osoby wskazane przez pacjenta uczestniczące w procesie opieki nad pacjentem nie mogą żądać od Uniwersyteckiego Szpitala Klinicznego w Białymstoku wynagrodzenia z tego tytułu.</w:t>
      </w:r>
    </w:p>
    <w:p w14:paraId="01E30ECD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Krewnym lub osobom wskazanym przez pacjenta uczestniczącym w procesie opieki nad pacjentem nie wolno samodzielnie stosować środków i zabiegów leczniczych, podawać leków, dokonywać zmian w diecie i zaleceniach lekarza i/lub pielęgniarki.</w:t>
      </w:r>
    </w:p>
    <w:p w14:paraId="7EBB7189" w14:textId="77777777" w:rsidR="007E69BC" w:rsidRDefault="007E69BC" w:rsidP="007E69BC">
      <w:pPr>
        <w:numPr>
          <w:ilvl w:val="0"/>
          <w:numId w:val="1"/>
        </w:numPr>
        <w:spacing w:after="89"/>
        <w:ind w:right="57" w:hanging="365"/>
      </w:pPr>
      <w:r>
        <w:t>Krewni lub osoby wskazane przez pacjenta uczestniczący w procesie opieki zgłaszają fakt przybycia oraz opuszczenia Kliniki Uniwersyteckiego Szpitala Klinicznego w Białymstoku dyżurnej pielęgniarce.</w:t>
      </w:r>
    </w:p>
    <w:p w14:paraId="77FF9545" w14:textId="77777777" w:rsidR="007E69BC" w:rsidRDefault="007E69BC" w:rsidP="007E69BC">
      <w:pPr>
        <w:numPr>
          <w:ilvl w:val="0"/>
          <w:numId w:val="1"/>
        </w:numPr>
        <w:spacing w:after="86"/>
        <w:ind w:right="57" w:hanging="365"/>
      </w:pPr>
      <w:r>
        <w:t>Krewni lub osoby wskazane przez pacjenta uczestniczący w procesie opieki są zobowiązani do przestrzegania zasad korzystania z urządzeń i sprzętu powierzonego przez Uniwersytecki Szpital Kliniczny w Białymstoku.</w:t>
      </w:r>
    </w:p>
    <w:p w14:paraId="230E7C9E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Krewni lub osoby wskazane przez pacjenta uczestniczący w procesie opieki mają możliwość po uzyskaniu zgody pacjenta:</w:t>
      </w:r>
    </w:p>
    <w:p w14:paraId="7DCF794F" w14:textId="77777777" w:rsidR="007E69BC" w:rsidRDefault="007E69BC" w:rsidP="007E69BC">
      <w:pPr>
        <w:numPr>
          <w:ilvl w:val="2"/>
          <w:numId w:val="2"/>
        </w:numPr>
        <w:spacing w:after="6"/>
        <w:ind w:left="887" w:right="57" w:hanging="355"/>
      </w:pPr>
      <w:r>
        <w:t>obecności przy wizycie lekarskiej swojego podopiecznego</w:t>
      </w:r>
    </w:p>
    <w:p w14:paraId="1B6DC995" w14:textId="77777777" w:rsidR="007E69BC" w:rsidRDefault="007E69BC" w:rsidP="007E69BC">
      <w:pPr>
        <w:numPr>
          <w:ilvl w:val="2"/>
          <w:numId w:val="2"/>
        </w:numPr>
        <w:ind w:left="887" w:right="57" w:hanging="355"/>
      </w:pPr>
      <w:r>
        <w:t>współuczestniczenia w procesie diagnostyki, leczenia, pielęgnacji, rehabilitacji, promocji zdrowia w zakresie wskazanym przez personel medyczny</w:t>
      </w:r>
    </w:p>
    <w:p w14:paraId="5DDB1299" w14:textId="77777777" w:rsidR="007E69BC" w:rsidRDefault="007E69BC" w:rsidP="007E69BC">
      <w:pPr>
        <w:numPr>
          <w:ilvl w:val="2"/>
          <w:numId w:val="2"/>
        </w:numPr>
        <w:ind w:left="887" w:right="57" w:hanging="355"/>
      </w:pPr>
      <w:r>
        <w:t>uczestniczenia w badanych diagnostycznych, za wyjątkiem sytuacji epidemiologicznych, narażenia na promieniowanie jonizujące, itp.</w:t>
      </w:r>
    </w:p>
    <w:p w14:paraId="38655DA3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EA799F0" wp14:editId="4EC941C3">
            <wp:simplePos x="0" y="0"/>
            <wp:positionH relativeFrom="page">
              <wp:posOffset>795849</wp:posOffset>
            </wp:positionH>
            <wp:positionV relativeFrom="page">
              <wp:posOffset>9436608</wp:posOffset>
            </wp:positionV>
            <wp:extent cx="21345" cy="6096"/>
            <wp:effectExtent l="0" t="0" r="0" b="0"/>
            <wp:wrapSquare wrapText="bothSides"/>
            <wp:docPr id="6314" name="Picture 6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4" name="Picture 6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Korzystanie przez pacjenta z prawa do uczestniczenia w procesie opieki krewnych lub osób przez niego wskazanych nie zwalnia personelu medycznego z opieki nad pacjentem.</w:t>
      </w:r>
    </w:p>
    <w:p w14:paraId="23C5F8D4" w14:textId="77777777" w:rsidR="007E69BC" w:rsidRDefault="007E69BC" w:rsidP="007E69BC">
      <w:pPr>
        <w:numPr>
          <w:ilvl w:val="0"/>
          <w:numId w:val="1"/>
        </w:numPr>
        <w:spacing w:after="89"/>
        <w:ind w:right="57" w:hanging="365"/>
      </w:pPr>
      <w:r>
        <w:t>Krewni lub osoby wskazane przez pacjenta mają możliwość korzystania z łazienki, łóżka, posiłku, gorącego napoju, z telewizora na zasadach obowiązujących w Uniwersyteckim Szpitalu Klinicznym w Białymstoku.</w:t>
      </w:r>
    </w:p>
    <w:p w14:paraId="7CE7A2D8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Za szkody powstałe z winy krewnych lub osób wskazanych przez pacjenta uczestniczących w procesie opieki nad pacjentem odpowiedzialność materialną ponoszą odpowiednio te osoby.</w:t>
      </w:r>
    </w:p>
    <w:p w14:paraId="5D5F43C2" w14:textId="77777777" w:rsidR="007E69BC" w:rsidRDefault="007E69BC" w:rsidP="007E69BC">
      <w:pPr>
        <w:numPr>
          <w:ilvl w:val="0"/>
          <w:numId w:val="1"/>
        </w:numPr>
        <w:ind w:right="57" w:hanging="365"/>
      </w:pPr>
      <w:r>
        <w:t>Nadzór nad przebiegiem uczestniczenia w procesie opieki krewnych lub osób wskazanych przez pacjenta sprawuje pielęgniarka/położna, jednocześnie nie zwalnia to pielęgniarki/położnej od opieki nad pacjentem.</w:t>
      </w:r>
    </w:p>
    <w:p w14:paraId="2AB75D18" w14:textId="77777777" w:rsidR="007E69BC" w:rsidRDefault="007E69BC" w:rsidP="007E69BC">
      <w:pPr>
        <w:ind w:left="471" w:right="57" w:firstLine="0"/>
      </w:pPr>
    </w:p>
    <w:p w14:paraId="3E3FBF66" w14:textId="77777777" w:rsidR="00F04D26" w:rsidRDefault="00F04D26" w:rsidP="007E69BC">
      <w:pPr>
        <w:ind w:left="0" w:firstLine="0"/>
      </w:pPr>
    </w:p>
    <w:sectPr w:rsidR="00F0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66D2" w14:textId="77777777" w:rsidR="007E69BC" w:rsidRDefault="007E69BC" w:rsidP="007E69BC">
      <w:pPr>
        <w:spacing w:after="0" w:line="240" w:lineRule="auto"/>
      </w:pPr>
      <w:r>
        <w:separator/>
      </w:r>
    </w:p>
  </w:endnote>
  <w:endnote w:type="continuationSeparator" w:id="0">
    <w:p w14:paraId="284D64FF" w14:textId="77777777" w:rsidR="007E69BC" w:rsidRDefault="007E69BC" w:rsidP="007E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9B523" w14:textId="77777777" w:rsidR="007E69BC" w:rsidRDefault="007E69BC" w:rsidP="007E69BC">
      <w:pPr>
        <w:spacing w:after="0" w:line="240" w:lineRule="auto"/>
      </w:pPr>
      <w:r>
        <w:separator/>
      </w:r>
    </w:p>
  </w:footnote>
  <w:footnote w:type="continuationSeparator" w:id="0">
    <w:p w14:paraId="3884D988" w14:textId="77777777" w:rsidR="007E69BC" w:rsidRDefault="007E69BC" w:rsidP="007E6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6" style="width:14.4pt;height:14.4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 w15:restartNumberingAfterBreak="0">
    <w:nsid w:val="00B13E3A"/>
    <w:multiLevelType w:val="hybridMultilevel"/>
    <w:tmpl w:val="FCBC4014"/>
    <w:lvl w:ilvl="0" w:tplc="C9763BB8">
      <w:start w:val="1"/>
      <w:numFmt w:val="decimal"/>
      <w:lvlText w:val="%1.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98BB6C">
      <w:start w:val="1"/>
      <w:numFmt w:val="bullet"/>
      <w:lvlText w:val="•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816FDBC">
      <w:start w:val="1"/>
      <w:numFmt w:val="bullet"/>
      <w:lvlText w:val="▪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C0A9CDA">
      <w:start w:val="1"/>
      <w:numFmt w:val="bullet"/>
      <w:lvlText w:val="•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808E7CC">
      <w:start w:val="1"/>
      <w:numFmt w:val="bullet"/>
      <w:lvlText w:val="o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30104FBE">
      <w:start w:val="1"/>
      <w:numFmt w:val="bullet"/>
      <w:lvlText w:val="▪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51E3E54">
      <w:start w:val="1"/>
      <w:numFmt w:val="bullet"/>
      <w:lvlText w:val="•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19054D8">
      <w:start w:val="1"/>
      <w:numFmt w:val="bullet"/>
      <w:lvlText w:val="o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5703E00">
      <w:start w:val="1"/>
      <w:numFmt w:val="bullet"/>
      <w:lvlText w:val="▪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D1E7A"/>
    <w:multiLevelType w:val="hybridMultilevel"/>
    <w:tmpl w:val="C142B68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 w15:restartNumberingAfterBreak="0">
    <w:nsid w:val="2ABE7B29"/>
    <w:multiLevelType w:val="hybridMultilevel"/>
    <w:tmpl w:val="6826085E"/>
    <w:lvl w:ilvl="0" w:tplc="5F1C479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C7720">
      <w:start w:val="1"/>
      <w:numFmt w:val="bullet"/>
      <w:lvlText w:val="o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8D530">
      <w:start w:val="1"/>
      <w:numFmt w:val="bullet"/>
      <w:lvlRestart w:val="0"/>
      <w:lvlText w:val="•"/>
      <w:lvlPicBulletId w:val="0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F097C6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216C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013DC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621E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892F0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B24A90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766D5F"/>
    <w:multiLevelType w:val="hybridMultilevel"/>
    <w:tmpl w:val="67BE49B6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69D5547D"/>
    <w:multiLevelType w:val="hybridMultilevel"/>
    <w:tmpl w:val="049A01D6"/>
    <w:lvl w:ilvl="0" w:tplc="BAD4F9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D1442AC">
      <w:start w:val="1"/>
      <w:numFmt w:val="bullet"/>
      <w:lvlText w:val="o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4796DBA4">
      <w:start w:val="1"/>
      <w:numFmt w:val="bullet"/>
      <w:lvlRestart w:val="0"/>
      <w:lvlText w:val="•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A2262774">
      <w:start w:val="1"/>
      <w:numFmt w:val="bullet"/>
      <w:lvlText w:val="•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542D9CC">
      <w:start w:val="1"/>
      <w:numFmt w:val="bullet"/>
      <w:lvlText w:val="o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3A29AEE">
      <w:start w:val="1"/>
      <w:numFmt w:val="bullet"/>
      <w:lvlText w:val="▪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4D285F2">
      <w:start w:val="1"/>
      <w:numFmt w:val="bullet"/>
      <w:lvlText w:val="•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83AE200">
      <w:start w:val="1"/>
      <w:numFmt w:val="bullet"/>
      <w:lvlText w:val="o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D4427C20">
      <w:start w:val="1"/>
      <w:numFmt w:val="bullet"/>
      <w:lvlText w:val="▪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D6"/>
    <w:rsid w:val="00405114"/>
    <w:rsid w:val="004F4764"/>
    <w:rsid w:val="006C2040"/>
    <w:rsid w:val="007E69BC"/>
    <w:rsid w:val="008C5F8D"/>
    <w:rsid w:val="008C6B51"/>
    <w:rsid w:val="009A3FE8"/>
    <w:rsid w:val="009E11D6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0EC4"/>
  <w15:chartTrackingRefBased/>
  <w15:docId w15:val="{682062FB-60C7-40D3-9976-ECC9B67C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9BC"/>
    <w:pPr>
      <w:spacing w:after="114" w:line="253" w:lineRule="auto"/>
      <w:ind w:left="414" w:hanging="36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4F4764"/>
    <w:pPr>
      <w:spacing w:after="200" w:line="240" w:lineRule="auto"/>
      <w:jc w:val="left"/>
    </w:pPr>
    <w:rPr>
      <w:iCs/>
      <w:color w:val="000000" w:themeColor="text1"/>
      <w:sz w:val="22"/>
      <w:szCs w:val="18"/>
    </w:rPr>
  </w:style>
  <w:style w:type="paragraph" w:styleId="Bezodstpw">
    <w:name w:val="No Spacing"/>
    <w:uiPriority w:val="1"/>
    <w:qFormat/>
    <w:rsid w:val="00405114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E69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9B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6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9BC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Kruszewski</dc:creator>
  <cp:keywords/>
  <dc:description/>
  <cp:lastModifiedBy>Robert Kruszewski</cp:lastModifiedBy>
  <cp:revision>2</cp:revision>
  <dcterms:created xsi:type="dcterms:W3CDTF">2024-09-12T11:01:00Z</dcterms:created>
  <dcterms:modified xsi:type="dcterms:W3CDTF">2024-09-12T11:01:00Z</dcterms:modified>
</cp:coreProperties>
</file>