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86701E">
        <w:rPr>
          <w:rFonts w:asciiTheme="majorHAnsi" w:hAnsiTheme="majorHAnsi"/>
          <w:spacing w:val="2"/>
          <w:sz w:val="22"/>
          <w:szCs w:val="22"/>
        </w:rPr>
        <w:t xml:space="preserve">prof.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26</w:t>
      </w:r>
      <w:r w:rsidR="00377C55" w:rsidRPr="00411AF7">
        <w:rPr>
          <w:rFonts w:asciiTheme="majorHAnsi" w:hAnsiTheme="majorHAnsi" w:cs="Times New Roman"/>
          <w:sz w:val="22"/>
          <w:szCs w:val="22"/>
        </w:rPr>
        <w:t>, 26a</w:t>
      </w:r>
      <w:r w:rsidRPr="00411AF7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CD70FB">
        <w:rPr>
          <w:rFonts w:asciiTheme="majorHAnsi" w:hAnsiTheme="majorHAnsi" w:cs="Times New Roman"/>
          <w:sz w:val="22"/>
          <w:szCs w:val="22"/>
        </w:rPr>
        <w:t>Dz.U.2023.991</w:t>
      </w:r>
      <w:r w:rsidR="00411AF7">
        <w:rPr>
          <w:rFonts w:asciiTheme="majorHAnsi" w:hAnsiTheme="majorHAnsi" w:cs="Times New Roman"/>
          <w:sz w:val="22"/>
          <w:szCs w:val="22"/>
        </w:rPr>
        <w:t xml:space="preserve"> ze zm.),</w:t>
      </w:r>
    </w:p>
    <w:p w:rsidR="00EF0F6E" w:rsidRP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411AF7">
        <w:rPr>
          <w:rFonts w:asciiTheme="majorHAnsi" w:hAnsiTheme="majorHAnsi" w:cs="Times New Roman"/>
          <w:sz w:val="22"/>
          <w:szCs w:val="22"/>
        </w:rPr>
        <w:t>h ze śr</w:t>
      </w:r>
      <w:r w:rsidR="00057AE5">
        <w:rPr>
          <w:rFonts w:asciiTheme="majorHAnsi" w:hAnsiTheme="majorHAnsi" w:cs="Times New Roman"/>
          <w:sz w:val="22"/>
          <w:szCs w:val="22"/>
        </w:rPr>
        <w:t>odków publicznych (Dz.U.2024.146</w:t>
      </w:r>
      <w:bookmarkStart w:id="0" w:name="_GoBack"/>
      <w:bookmarkEnd w:id="0"/>
      <w:r w:rsidRPr="00411AF7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</w:t>
      </w:r>
      <w:r w:rsidR="00CD70FB">
        <w:rPr>
          <w:rFonts w:asciiTheme="majorHAnsi" w:hAnsiTheme="majorHAnsi" w:cs="Times New Roman"/>
          <w:sz w:val="22"/>
          <w:szCs w:val="22"/>
        </w:rPr>
        <w:t>czniczej</w:t>
      </w:r>
      <w:r w:rsidRPr="00411AF7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CD70FB">
        <w:rPr>
          <w:rFonts w:asciiTheme="majorHAnsi" w:hAnsiTheme="majorHAnsi" w:cs="Times New Roman"/>
          <w:sz w:val="22"/>
          <w:szCs w:val="22"/>
        </w:rPr>
        <w:t>Dz.U.2023.1516</w:t>
      </w:r>
      <w:r w:rsidR="00411AF7">
        <w:rPr>
          <w:rFonts w:asciiTheme="majorHAnsi" w:hAnsiTheme="majorHAnsi" w:cs="Times New Roman"/>
          <w:sz w:val="22"/>
          <w:szCs w:val="22"/>
        </w:rPr>
        <w:t xml:space="preserve"> </w:t>
      </w:r>
      <w:r w:rsidR="009D3718" w:rsidRPr="00DB660B">
        <w:rPr>
          <w:rFonts w:asciiTheme="majorHAnsi" w:hAnsiTheme="majorHAnsi" w:cs="Times New Roman"/>
          <w:sz w:val="22"/>
          <w:szCs w:val="22"/>
        </w:rPr>
        <w:t>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</w:t>
      </w:r>
      <w:r w:rsidR="00411AF7">
        <w:rPr>
          <w:rFonts w:asciiTheme="majorHAnsi" w:hAnsiTheme="majorHAnsi" w:cs="Times New Roman"/>
          <w:sz w:val="22"/>
          <w:szCs w:val="22"/>
        </w:rPr>
        <w:t>etnia 1964 r. – Kodeks cywilny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</w:t>
      </w:r>
      <w:r w:rsidR="00127935">
        <w:rPr>
          <w:rFonts w:asciiTheme="majorHAnsi" w:hAnsiTheme="majorHAnsi"/>
          <w:sz w:val="22"/>
          <w:szCs w:val="22"/>
        </w:rPr>
        <w:t>jenta (Dz.U.2023.1545</w:t>
      </w:r>
      <w:r w:rsidRPr="00DB660B">
        <w:rPr>
          <w:rFonts w:asciiTheme="majorHAnsi" w:hAnsiTheme="majorHAnsi"/>
          <w:sz w:val="22"/>
          <w:szCs w:val="22"/>
        </w:rPr>
        <w:t xml:space="preserve">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411AF7">
        <w:rPr>
          <w:rFonts w:asciiTheme="majorHAnsi" w:hAnsiTheme="majorHAnsi"/>
          <w:sz w:val="22"/>
          <w:szCs w:val="22"/>
        </w:rPr>
        <w:t xml:space="preserve">Dz.U.2019.1781 </w:t>
      </w:r>
      <w:r w:rsidR="00AE14E5" w:rsidRPr="00DB660B">
        <w:rPr>
          <w:rFonts w:asciiTheme="majorHAnsi" w:hAnsiTheme="majorHAnsi"/>
          <w:sz w:val="22"/>
          <w:szCs w:val="22"/>
        </w:rPr>
        <w:t>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</w:t>
      </w:r>
      <w:r w:rsidR="00411AF7">
        <w:rPr>
          <w:rFonts w:asciiTheme="majorHAnsi" w:hAnsiTheme="majorHAnsi"/>
          <w:sz w:val="22"/>
          <w:szCs w:val="22"/>
        </w:rPr>
        <w:t>enta</w:t>
      </w:r>
      <w:r w:rsidR="00AE14E5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>za każde naruszenie. Do naruszeń uzasadniających nałożenie kary zalicza się w szczególności nieprzestrzeganie przez Przyjmującego Zamówienie obowiązujących przepisów BHP i ppoż,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5413FD">
        <w:rPr>
          <w:rFonts w:asciiTheme="majorHAnsi" w:hAnsiTheme="majorHAnsi"/>
          <w:sz w:val="22"/>
          <w:szCs w:val="22"/>
        </w:rPr>
        <w:t xml:space="preserve"> leczniczą (Dz. U. 2019, poz. 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6C0217">
        <w:rPr>
          <w:rFonts w:asciiTheme="majorHAnsi" w:hAnsiTheme="majorHAnsi" w:cs="Times New Roman"/>
          <w:sz w:val="22"/>
          <w:szCs w:val="22"/>
        </w:rPr>
        <w:t xml:space="preserve">st do pełnienia minimum </w:t>
      </w:r>
      <w:r w:rsidR="00127935">
        <w:rPr>
          <w:rFonts w:asciiTheme="majorHAnsi" w:hAnsiTheme="majorHAnsi" w:cs="Times New Roman"/>
          <w:sz w:val="22"/>
          <w:szCs w:val="22"/>
        </w:rPr>
        <w:t>czterech (4)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127935">
        <w:rPr>
          <w:rFonts w:asciiTheme="majorHAnsi" w:hAnsiTheme="majorHAnsi" w:cs="Times New Roman"/>
          <w:sz w:val="22"/>
          <w:szCs w:val="22"/>
        </w:rPr>
        <w:t>hunkowości (Dz.U.2023.120</w:t>
      </w:r>
      <w:r w:rsidR="00411AF7">
        <w:rPr>
          <w:rFonts w:asciiTheme="majorHAnsi" w:hAnsiTheme="majorHAnsi" w:cs="Times New Roman"/>
          <w:sz w:val="22"/>
          <w:szCs w:val="22"/>
        </w:rPr>
        <w:t xml:space="preserve"> ze </w:t>
      </w:r>
      <w:r w:rsidR="00175416" w:rsidRPr="00DB660B">
        <w:rPr>
          <w:rFonts w:asciiTheme="majorHAnsi" w:hAnsiTheme="majorHAnsi" w:cs="Times New Roman"/>
          <w:sz w:val="22"/>
          <w:szCs w:val="22"/>
        </w:rPr>
        <w:t>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411AF7">
        <w:rPr>
          <w:rFonts w:asciiTheme="majorHAnsi" w:hAnsiTheme="majorHAnsi" w:cs="Times New Roman"/>
          <w:sz w:val="22"/>
          <w:szCs w:val="22"/>
        </w:rPr>
        <w:t xml:space="preserve">w tym zakresie przepisów prawa,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411AF7">
        <w:rPr>
          <w:rFonts w:asciiTheme="majorHAnsi" w:hAnsiTheme="majorHAnsi" w:cs="Times New Roman"/>
          <w:sz w:val="22"/>
          <w:szCs w:val="22"/>
        </w:rPr>
        <w:t>dnia 29 października</w:t>
      </w:r>
      <w:r w:rsidR="005A3994">
        <w:rPr>
          <w:rFonts w:asciiTheme="majorHAnsi" w:hAnsiTheme="majorHAnsi" w:cs="Times New Roman"/>
          <w:sz w:val="22"/>
          <w:szCs w:val="22"/>
        </w:rPr>
        <w:t xml:space="preserve"> 2021 </w:t>
      </w:r>
      <w:r w:rsidR="00696145" w:rsidRPr="00DB660B">
        <w:rPr>
          <w:rFonts w:asciiTheme="majorHAnsi" w:hAnsiTheme="majorHAnsi" w:cs="Times New Roman"/>
          <w:sz w:val="22"/>
          <w:szCs w:val="22"/>
        </w:rPr>
        <w:t>r. w sprawie wystawiania fak</w:t>
      </w:r>
      <w:r w:rsidR="005A3994">
        <w:rPr>
          <w:rFonts w:asciiTheme="majorHAnsi" w:hAnsiTheme="majorHAnsi" w:cs="Times New Roman"/>
          <w:sz w:val="22"/>
          <w:szCs w:val="22"/>
        </w:rPr>
        <w:t>tur (Dz.U.2021.1979 zez m.</w:t>
      </w:r>
      <w:r w:rsidR="00696145" w:rsidRPr="00DB660B">
        <w:rPr>
          <w:rFonts w:asciiTheme="majorHAnsi" w:hAnsiTheme="majorHAnsi" w:cs="Times New Roman"/>
          <w:sz w:val="22"/>
          <w:szCs w:val="22"/>
        </w:rPr>
        <w:t>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057AE5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7A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1C89" w:rsidRDefault="00057AE5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57AE5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935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11AF7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3E82"/>
    <w:rsid w:val="0056653C"/>
    <w:rsid w:val="00572229"/>
    <w:rsid w:val="00583B88"/>
    <w:rsid w:val="00586699"/>
    <w:rsid w:val="00595EFA"/>
    <w:rsid w:val="005A3994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17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6701E"/>
    <w:rsid w:val="00867F7D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D70FB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C0034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6C93CEA6"/>
  <w15:docId w15:val="{0713B74A-CE18-40DD-90DB-24AF6FA3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645E-8A7F-43C8-B223-50DE9E27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3809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Anna Martyszewska</cp:lastModifiedBy>
  <cp:revision>34</cp:revision>
  <cp:lastPrinted>2017-12-07T10:55:00Z</cp:lastPrinted>
  <dcterms:created xsi:type="dcterms:W3CDTF">2017-05-23T12:00:00Z</dcterms:created>
  <dcterms:modified xsi:type="dcterms:W3CDTF">2024-04-29T07:38:00Z</dcterms:modified>
</cp:coreProperties>
</file>